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2CB" w:rsidRDefault="009E02CB" w:rsidP="00B067CE">
      <w:pPr>
        <w:contextualSpacing/>
        <w:jc w:val="both"/>
        <w:rPr>
          <w:color w:val="000000"/>
          <w:u w:val="single"/>
          <w:lang w:val="en-US"/>
        </w:rPr>
      </w:pPr>
    </w:p>
    <w:p w:rsidR="009E02CB" w:rsidRPr="00987CA6" w:rsidRDefault="009E02CB" w:rsidP="009E02CB">
      <w:pPr>
        <w:jc w:val="center"/>
        <w:rPr>
          <w:b/>
        </w:rPr>
      </w:pPr>
      <w:r w:rsidRPr="00987CA6">
        <w:rPr>
          <w:b/>
        </w:rPr>
        <w:t>ΔΕΛΤΙΟ ΤΥΠΟΥ</w:t>
      </w:r>
    </w:p>
    <w:p w:rsidR="009E02CB" w:rsidRDefault="009E02CB" w:rsidP="009E02CB">
      <w:pPr>
        <w:jc w:val="center"/>
        <w:rPr>
          <w:b/>
        </w:rPr>
      </w:pPr>
      <w:r w:rsidRPr="00987CA6">
        <w:rPr>
          <w:b/>
        </w:rPr>
        <w:t xml:space="preserve">ΔΡΑΣΤΗΡΙΟΤΗΤΕΣ ΤΟΥ ΠΑΝΕΛΛΗΝΙΟΥ ΣΥΛΛΟΓΟΥ ΕΦΟΔΙΑΣΤΩΝ ΠΛΟΙΩΝ &amp; ΕΞΑΓΩΓΕΩΝ ΚΑΤΑ ΤΟΥΣ ΜΗΝΕΣ </w:t>
      </w:r>
      <w:r>
        <w:rPr>
          <w:b/>
        </w:rPr>
        <w:t xml:space="preserve"> ΙΟΥΝΙΟ ΚΑΙ ΙΟΥΛΙΟ</w:t>
      </w:r>
      <w:r w:rsidRPr="00987CA6">
        <w:rPr>
          <w:b/>
        </w:rPr>
        <w:t xml:space="preserve"> ΤΟΥ ΕΤΟΥΣ 2014</w:t>
      </w:r>
    </w:p>
    <w:p w:rsidR="009E02CB" w:rsidRDefault="009E02CB" w:rsidP="009E02CB">
      <w:pPr>
        <w:jc w:val="center"/>
        <w:rPr>
          <w:b/>
        </w:rPr>
      </w:pPr>
    </w:p>
    <w:p w:rsidR="009E02CB" w:rsidRDefault="009E02CB" w:rsidP="009E02CB">
      <w:pPr>
        <w:rPr>
          <w:b/>
        </w:rPr>
      </w:pPr>
      <w:r>
        <w:rPr>
          <w:b/>
        </w:rPr>
        <w:t>ΑΥΓΟΥΣΤΟΣ 2014</w:t>
      </w:r>
    </w:p>
    <w:p w:rsidR="009E02CB" w:rsidRPr="009E02CB" w:rsidRDefault="009E02CB" w:rsidP="009E02CB">
      <w:pPr>
        <w:contextualSpacing/>
        <w:jc w:val="both"/>
        <w:rPr>
          <w:u w:val="single"/>
        </w:rPr>
      </w:pPr>
    </w:p>
    <w:p w:rsidR="009E02CB" w:rsidRPr="009E02CB" w:rsidRDefault="009E02CB" w:rsidP="009E02CB">
      <w:pPr>
        <w:pStyle w:val="ListParagraph"/>
        <w:contextualSpacing/>
        <w:jc w:val="both"/>
        <w:rPr>
          <w:u w:val="single"/>
        </w:rPr>
      </w:pPr>
    </w:p>
    <w:p w:rsidR="00B067CE" w:rsidRPr="00C72A04" w:rsidRDefault="00B067CE" w:rsidP="009E02CB">
      <w:pPr>
        <w:pStyle w:val="ListParagraph"/>
        <w:numPr>
          <w:ilvl w:val="0"/>
          <w:numId w:val="20"/>
        </w:numPr>
        <w:contextualSpacing/>
        <w:jc w:val="both"/>
        <w:rPr>
          <w:b/>
          <w:u w:val="single"/>
        </w:rPr>
      </w:pPr>
      <w:r w:rsidRPr="00C72A04">
        <w:rPr>
          <w:b/>
          <w:color w:val="000000"/>
          <w:u w:val="single"/>
        </w:rPr>
        <w:t xml:space="preserve">Συνάντηση που πραγματοποιήθηκε με συμμετοχή του Προέδρου του ΠΣΕΠ κ. Ν. Μαυρίκου και του τελωνειακού συμβούλου κ. Γ. Βήτου για </w:t>
      </w:r>
      <w:r w:rsidRPr="00C72A04">
        <w:rPr>
          <w:b/>
          <w:bCs/>
          <w:color w:val="000000"/>
          <w:u w:val="single"/>
        </w:rPr>
        <w:t xml:space="preserve">διευκρινίσεις σχετικά με τοις </w:t>
      </w:r>
      <w:r w:rsidRPr="00C72A04">
        <w:rPr>
          <w:b/>
          <w:color w:val="000000"/>
          <w:u w:val="single"/>
        </w:rPr>
        <w:t xml:space="preserve">ρυθμίσεις της </w:t>
      </w:r>
      <w:r w:rsidRPr="00C72A04">
        <w:rPr>
          <w:b/>
          <w:bCs/>
          <w:color w:val="000000"/>
          <w:u w:val="single"/>
        </w:rPr>
        <w:t>αριθ. Δ19Α 5014286/3-6-2014 εγκυκλίου (</w:t>
      </w:r>
      <w:r w:rsidRPr="00C72A04">
        <w:rPr>
          <w:b/>
          <w:color w:val="000000"/>
          <w:u w:val="single"/>
        </w:rPr>
        <w:t xml:space="preserve">ΚΑΝΟΝΙΣΤΙΚΟ ΠΛΑΙΣΙΟ ΔΕΤΕ) που παρασχέθηκαν από τον υπεύθυνο της 19ης Δ/νσης κ. Δ. Μπουρίκο και την Δ/ντρα κα Σ. Παπαγιάννη. </w:t>
      </w:r>
    </w:p>
    <w:p w:rsidR="00C72A04" w:rsidRDefault="00C72A04" w:rsidP="00C72A04">
      <w:pPr>
        <w:jc w:val="both"/>
        <w:rPr>
          <w:color w:val="000000"/>
          <w:u w:val="single"/>
        </w:rPr>
      </w:pPr>
    </w:p>
    <w:p w:rsidR="00C72A04" w:rsidRDefault="00C72A04" w:rsidP="00C72A04">
      <w:pPr>
        <w:jc w:val="both"/>
        <w:rPr>
          <w:color w:val="000000"/>
        </w:rPr>
      </w:pPr>
      <w:r>
        <w:rPr>
          <w:color w:val="000000"/>
        </w:rPr>
        <w:t>Κατά τη συνάντηση διευκρινίσθηκαν πολλά θέματα που αναφέρονται στην ως άνω εγκύκλιο. Ιδιαίτερη έμφαση δόθηκε στην έννοια του τελωνειακού καταστήματος. Ο κ. Μπουρίκος διευκρίνισε ότι όλοι οι χώροι που λειτουργούν ως περίβολοι του τελωνείου εμπίπτουν στην έννοια του «τελωνειακού καταστήματος», καθόσον στους χώρους αυτούς υπάρχει η τελωνειακή παρουσία χωρίς να ζητείται από τον ενδιαφερόμενο.</w:t>
      </w:r>
    </w:p>
    <w:p w:rsidR="00C72A04" w:rsidRDefault="00C72A04" w:rsidP="00C72A04">
      <w:pPr>
        <w:jc w:val="both"/>
        <w:rPr>
          <w:color w:val="000000"/>
        </w:rPr>
      </w:pPr>
      <w:r>
        <w:rPr>
          <w:color w:val="000000"/>
        </w:rPr>
        <w:t>Στην ίδια έννοια υπάγονται και οι πύλες οι οποίες υπογράφουν στα Δελτία Παράδοσης Εφοδίων σχετικά με την παράδοση των εφοδίων στα πλοία.</w:t>
      </w:r>
    </w:p>
    <w:p w:rsidR="00C72A04" w:rsidRPr="00C72A04" w:rsidRDefault="00C72A04" w:rsidP="00C72A04">
      <w:pPr>
        <w:jc w:val="both"/>
        <w:rPr>
          <w:color w:val="000000"/>
        </w:rPr>
      </w:pPr>
    </w:p>
    <w:p w:rsidR="00B067CE" w:rsidRPr="00C72A04" w:rsidRDefault="00B067CE" w:rsidP="009E02CB">
      <w:pPr>
        <w:pStyle w:val="ListParagraph"/>
        <w:numPr>
          <w:ilvl w:val="0"/>
          <w:numId w:val="20"/>
        </w:numPr>
        <w:jc w:val="both"/>
        <w:rPr>
          <w:b/>
          <w:color w:val="000000"/>
          <w:u w:val="single"/>
        </w:rPr>
      </w:pPr>
      <w:r w:rsidRPr="00C72A04">
        <w:rPr>
          <w:b/>
          <w:color w:val="000000"/>
          <w:u w:val="single"/>
        </w:rPr>
        <w:t xml:space="preserve">Αποστολή σημειώματος (αριθμ. Πρωτ.115) του Πρόεδρου κ Ν. Μαυρίκου και του τελωνειακού συμβούλου κ. Γ. Βήτου προς τα μέλη του συλλόγου στο οποίο αποσαφηνίζονται οι ρυθμίσεις της </w:t>
      </w:r>
      <w:r w:rsidRPr="00C72A04">
        <w:rPr>
          <w:b/>
          <w:bCs/>
          <w:color w:val="000000"/>
          <w:u w:val="single"/>
        </w:rPr>
        <w:t>αριθ. Δ19Α 5014286/3-6-2014 εγκυκλίου</w:t>
      </w:r>
      <w:r w:rsidRPr="00C72A04">
        <w:rPr>
          <w:b/>
          <w:color w:val="000000"/>
          <w:u w:val="single"/>
        </w:rPr>
        <w:t xml:space="preserve"> σχετικά με το κανονιστικό πλαίσιο για την εφαρμογή των </w:t>
      </w:r>
      <w:r w:rsidRPr="00C72A04">
        <w:rPr>
          <w:b/>
          <w:bCs/>
          <w:color w:val="000000"/>
          <w:u w:val="single"/>
        </w:rPr>
        <w:t>ΔΕΤΕ</w:t>
      </w:r>
      <w:r w:rsidRPr="00C72A04">
        <w:rPr>
          <w:b/>
          <w:color w:val="000000"/>
          <w:u w:val="single"/>
        </w:rPr>
        <w:t>.</w:t>
      </w:r>
    </w:p>
    <w:p w:rsidR="00B067CE" w:rsidRPr="00182106" w:rsidRDefault="00B067CE" w:rsidP="00B067CE">
      <w:pPr>
        <w:pStyle w:val="ListParagraph"/>
        <w:ind w:left="2520"/>
        <w:jc w:val="both"/>
        <w:rPr>
          <w:color w:val="000000"/>
        </w:rPr>
      </w:pPr>
    </w:p>
    <w:p w:rsidR="002976BB" w:rsidRPr="008F7E72" w:rsidRDefault="002976BB" w:rsidP="002976BB">
      <w:pPr>
        <w:pStyle w:val="NoSpacing"/>
        <w:jc w:val="center"/>
        <w:rPr>
          <w:b/>
          <w:i/>
          <w:lang w:val="el-GR"/>
        </w:rPr>
      </w:pPr>
      <w:r w:rsidRPr="008F7E72">
        <w:rPr>
          <w:b/>
          <w:i/>
          <w:lang w:val="el-GR"/>
        </w:rPr>
        <w:t>«ΣΗΜΕΙΩΜΑ</w:t>
      </w:r>
    </w:p>
    <w:p w:rsidR="002976BB" w:rsidRPr="008F7E72" w:rsidRDefault="002976BB" w:rsidP="002976BB">
      <w:pPr>
        <w:rPr>
          <w:i/>
        </w:rPr>
      </w:pPr>
    </w:p>
    <w:p w:rsidR="002976BB" w:rsidRPr="008F7E72" w:rsidRDefault="002976BB" w:rsidP="002976BB">
      <w:pPr>
        <w:jc w:val="center"/>
        <w:rPr>
          <w:b/>
          <w:i/>
        </w:rPr>
      </w:pPr>
      <w:r w:rsidRPr="008F7E72">
        <w:rPr>
          <w:b/>
          <w:i/>
        </w:rPr>
        <w:t>ΚΑΝΟΝΙΣΤΙΚΟ ΠΛΑΙΣΙΟ ΔΕΤΕ – ΕΠΙΠΤΩΣΕΙΣ ΣΤΟΝ ΕΦΟΔΙΑΣΜΟ ΠΛΟΙΩΝ</w:t>
      </w:r>
    </w:p>
    <w:p w:rsidR="002976BB" w:rsidRPr="008F7E72" w:rsidRDefault="002976BB" w:rsidP="002976BB">
      <w:pPr>
        <w:rPr>
          <w:i/>
        </w:rPr>
      </w:pPr>
    </w:p>
    <w:p w:rsidR="002976BB" w:rsidRPr="008F7E72" w:rsidRDefault="002976BB" w:rsidP="002976BB">
      <w:pPr>
        <w:rPr>
          <w:i/>
        </w:rPr>
      </w:pPr>
      <w:r w:rsidRPr="008F7E72">
        <w:rPr>
          <w:i/>
        </w:rPr>
        <w:t>Σε συνέχεια του προηγούμενου σημειώματος που σας έστειλα στις 22/6/2014 σχετικά με τα σημεία της αριθ. Δ19Α 5014286/2014 εγκυκλίου που χρήζουν επεξηγήσεων και διευκρινίσεων, σας στέλνω ένα σημείωμα ύστερα από τις διεκρινίσεις που παρασχέθηκαν από τον υπεύθυνο της 19</w:t>
      </w:r>
      <w:r w:rsidRPr="008F7E72">
        <w:rPr>
          <w:i/>
          <w:vertAlign w:val="superscript"/>
        </w:rPr>
        <w:t>ης</w:t>
      </w:r>
      <w:r w:rsidRPr="008F7E72">
        <w:rPr>
          <w:i/>
        </w:rPr>
        <w:t xml:space="preserve"> Δ/νσης κ. Δ. Μπουρίκο και την Δ/ντρα κα Σ. Παπαγιάννη κατά τη </w:t>
      </w:r>
      <w:r w:rsidRPr="008F7E72">
        <w:rPr>
          <w:i/>
        </w:rPr>
        <w:lastRenderedPageBreak/>
        <w:t>συνάντηση που έγινε στις 15/7/2014  με συμμετοχή του Προέδρου του ΠΣΕΠ κ. Ν. Μαυρίκου και του τελωνειακού συμβούλου κ. Γ. Βήτου.</w:t>
      </w:r>
    </w:p>
    <w:p w:rsidR="002976BB" w:rsidRPr="008F7E72" w:rsidRDefault="002976BB" w:rsidP="002976BB">
      <w:pPr>
        <w:rPr>
          <w:b/>
          <w:i/>
        </w:rPr>
      </w:pPr>
      <w:r w:rsidRPr="008F7E72">
        <w:rPr>
          <w:b/>
          <w:i/>
        </w:rPr>
        <w:t>Η ως άνω εγκύκλιος ήταν το αποτέλεσμα μακρών και επίπονων προπαθειών του Προέδρου του ΠΣΕΠ τόσο στην υπηρεσιακή όσο και στην πολιτική ηγεσία του Υπουργείου Οικονομικών, αλλά και άλλων πολιτικών φορέων, προκειμένου να ρυθμισθούν τα ΔΕΤΕ σύμφωνα με το άρθρο 52 του Ενωσιακού Τελωνειακού Κώδικα που θεσπίσθηκε με τον κανονισμό 952/2013.</w:t>
      </w:r>
    </w:p>
    <w:p w:rsidR="002976BB" w:rsidRPr="008F7E72" w:rsidRDefault="002976BB" w:rsidP="002976BB">
      <w:pPr>
        <w:rPr>
          <w:i/>
        </w:rPr>
      </w:pPr>
      <w:r w:rsidRPr="008F7E72">
        <w:rPr>
          <w:i/>
        </w:rPr>
        <w:t>Τα κυριώτερα σημεία που πρέπει να τεθούν υπόψη των εφοδιαστών πλοίων είναι τα εξής:</w:t>
      </w:r>
    </w:p>
    <w:p w:rsidR="002976BB" w:rsidRPr="008F7E72" w:rsidRDefault="002976BB" w:rsidP="002976BB">
      <w:pPr>
        <w:rPr>
          <w:i/>
        </w:rPr>
      </w:pPr>
      <w:r w:rsidRPr="008F7E72">
        <w:rPr>
          <w:i/>
        </w:rPr>
        <w:t>Σύμφωνα με την ως άνω εγκύκλιο, βασικός κανόνας για την επιβολή των ΔΕΤΕ είναι η διενέργεια τελωνειακών εργασιών εκτός του επισήμου ωραρίου, ή εκτός τελωνειακού καταστήματος.</w:t>
      </w:r>
    </w:p>
    <w:p w:rsidR="002976BB" w:rsidRPr="008F7E72" w:rsidRDefault="002976BB" w:rsidP="002976BB">
      <w:pPr>
        <w:pStyle w:val="Default"/>
        <w:numPr>
          <w:ilvl w:val="0"/>
          <w:numId w:val="24"/>
        </w:numPr>
        <w:rPr>
          <w:i/>
        </w:rPr>
      </w:pPr>
      <w:r w:rsidRPr="008F7E72">
        <w:rPr>
          <w:rFonts w:asciiTheme="minorHAnsi" w:hAnsiTheme="minorHAnsi"/>
          <w:i/>
          <w:sz w:val="22"/>
          <w:szCs w:val="22"/>
        </w:rPr>
        <w:t xml:space="preserve">Ως </w:t>
      </w:r>
      <w:r w:rsidRPr="008F7E72">
        <w:rPr>
          <w:rFonts w:asciiTheme="minorHAnsi" w:hAnsiTheme="minorHAnsi"/>
          <w:b/>
          <w:i/>
          <w:sz w:val="22"/>
          <w:szCs w:val="22"/>
        </w:rPr>
        <w:t>επίσημο ωράριο</w:t>
      </w:r>
      <w:r w:rsidRPr="008F7E72">
        <w:rPr>
          <w:rFonts w:asciiTheme="minorHAnsi" w:hAnsiTheme="minorHAnsi"/>
          <w:i/>
          <w:sz w:val="22"/>
          <w:szCs w:val="22"/>
        </w:rPr>
        <w:t xml:space="preserve"> θεωρείται αυτό που καθορίσθηκε με τις εκδοθείσες γενικές (Τ.3167/4165/17-7-2002 ΑΥΟ), ή ειδικές Υπουργικές Αποφάσεις</w:t>
      </w:r>
      <w:r w:rsidRPr="008F7E72">
        <w:rPr>
          <w:i/>
        </w:rPr>
        <w:t>.</w:t>
      </w:r>
    </w:p>
    <w:p w:rsidR="002976BB" w:rsidRPr="008F7E72" w:rsidRDefault="002976BB" w:rsidP="002976BB">
      <w:pPr>
        <w:pStyle w:val="Default"/>
        <w:rPr>
          <w:i/>
        </w:rPr>
      </w:pPr>
    </w:p>
    <w:p w:rsidR="002976BB" w:rsidRPr="008F7E72" w:rsidRDefault="002976BB" w:rsidP="002976BB">
      <w:pPr>
        <w:pStyle w:val="ListParagraph"/>
        <w:numPr>
          <w:ilvl w:val="0"/>
          <w:numId w:val="24"/>
        </w:numPr>
        <w:contextualSpacing/>
        <w:rPr>
          <w:i/>
        </w:rPr>
      </w:pPr>
      <w:r w:rsidRPr="008F7E72">
        <w:rPr>
          <w:i/>
        </w:rPr>
        <w:t xml:space="preserve">Ως </w:t>
      </w:r>
      <w:r w:rsidRPr="008F7E72">
        <w:rPr>
          <w:b/>
          <w:i/>
        </w:rPr>
        <w:t>τελωνειακό κατάστημα</w:t>
      </w:r>
      <w:r w:rsidRPr="008F7E72">
        <w:rPr>
          <w:i/>
        </w:rPr>
        <w:t xml:space="preserve"> θεωρείται ο χώρος συνήθους παρουσίας ανθρωπίνων (τελωνειακοί υπάλληλοι) ή υλικών πόρων (ηλεκτρονικά μηχανήματα).</w:t>
      </w:r>
    </w:p>
    <w:p w:rsidR="002976BB" w:rsidRPr="008F7E72" w:rsidRDefault="002976BB" w:rsidP="002976BB">
      <w:pPr>
        <w:rPr>
          <w:i/>
        </w:rPr>
      </w:pPr>
    </w:p>
    <w:p w:rsidR="002976BB" w:rsidRPr="008F7E72" w:rsidRDefault="002976BB" w:rsidP="002976BB">
      <w:pPr>
        <w:rPr>
          <w:i/>
        </w:rPr>
      </w:pPr>
      <w:r w:rsidRPr="008F7E72">
        <w:rPr>
          <w:i/>
        </w:rPr>
        <w:t xml:space="preserve">Με βάση τους ως άνω ορισμούς θα πρέπει να διακρίνουμε αν οι τελωνειακές εργασίες για τον εφοδιασμό πλοίων διενεργούνται μέσα στο επίσημο ωράριο και μέσα στο τελωνειακό κατάστημα. Ειδικότερα θα πρέπει να διακρίνουμε αν τα εμπορεύματα για τα οποία κατατίθεται διασάφηση (κανονική ή απλουστευμένη) προσκομίζονται σε χώρο που ελέγχεται από το τελωνείο ή βρίσκονται σε χώρους οι οποίοι δεν εμπίπτουν στην έννοια του τελωνειακού καταστήματος, σύμφωνα με τον ως άνω ορισμό, όπως είναι οι φορολογικές αποθήκες ΕΦΚ και οι αποθήκες τελωνειακής αποταμίευσης. </w:t>
      </w:r>
    </w:p>
    <w:p w:rsidR="002976BB" w:rsidRPr="008F7E72" w:rsidRDefault="002976BB" w:rsidP="002976BB">
      <w:pPr>
        <w:rPr>
          <w:i/>
        </w:rPr>
      </w:pPr>
      <w:r w:rsidRPr="008F7E72">
        <w:rPr>
          <w:i/>
        </w:rPr>
        <w:t>Συνεπώς με βάση τους ως άνω ορισμούς μπορούμε να συνάγουμε τα εξής:</w:t>
      </w:r>
    </w:p>
    <w:p w:rsidR="002976BB" w:rsidRPr="008F7E72" w:rsidRDefault="002976BB" w:rsidP="002976BB">
      <w:pPr>
        <w:rPr>
          <w:i/>
        </w:rPr>
      </w:pPr>
    </w:p>
    <w:p w:rsidR="002976BB" w:rsidRPr="008F7E72" w:rsidRDefault="002976BB" w:rsidP="002976BB">
      <w:pPr>
        <w:pStyle w:val="ListParagraph"/>
        <w:numPr>
          <w:ilvl w:val="0"/>
          <w:numId w:val="22"/>
        </w:numPr>
        <w:contextualSpacing/>
        <w:rPr>
          <w:b/>
          <w:i/>
        </w:rPr>
      </w:pPr>
      <w:r w:rsidRPr="008F7E72">
        <w:rPr>
          <w:b/>
          <w:i/>
        </w:rPr>
        <w:t>Περιπτώσεις μη επιβολής ΔΕΤΕ</w:t>
      </w:r>
    </w:p>
    <w:p w:rsidR="002976BB" w:rsidRPr="008F7E72" w:rsidRDefault="002976BB" w:rsidP="002976BB">
      <w:pPr>
        <w:pStyle w:val="ListParagraph"/>
        <w:rPr>
          <w:b/>
          <w:i/>
        </w:rPr>
      </w:pPr>
    </w:p>
    <w:p w:rsidR="002976BB" w:rsidRPr="008F7E72" w:rsidRDefault="002976BB" w:rsidP="002976BB">
      <w:pPr>
        <w:pStyle w:val="ListParagraph"/>
        <w:numPr>
          <w:ilvl w:val="1"/>
          <w:numId w:val="22"/>
        </w:numPr>
        <w:contextualSpacing/>
        <w:rPr>
          <w:b/>
          <w:i/>
        </w:rPr>
      </w:pPr>
      <w:r w:rsidRPr="008F7E72">
        <w:rPr>
          <w:b/>
          <w:i/>
        </w:rPr>
        <w:t>Κανονική διαδικασία εξαγωγής:</w:t>
      </w:r>
    </w:p>
    <w:p w:rsidR="002976BB" w:rsidRPr="008F7E72" w:rsidRDefault="002976BB" w:rsidP="002976BB">
      <w:pPr>
        <w:rPr>
          <w:b/>
          <w:i/>
        </w:rPr>
      </w:pPr>
      <w:r w:rsidRPr="008F7E72">
        <w:rPr>
          <w:i/>
        </w:rPr>
        <w:t xml:space="preserve">Εάν τα εξαγόμενα εμπορεύματα προσκομισθούν στο </w:t>
      </w:r>
      <w:r w:rsidRPr="008F7E72">
        <w:rPr>
          <w:b/>
          <w:i/>
        </w:rPr>
        <w:t>χώρο τελωνείου εξαγωγής</w:t>
      </w:r>
      <w:r w:rsidRPr="008F7E72">
        <w:rPr>
          <w:i/>
        </w:rPr>
        <w:t xml:space="preserve"> που ορίσθηκε για την προσκόμιση και τη διενέργεια του ελέγχου , εφόσον οι τελωνειακές εργασίες γίνουν κατά το επίσημο ωράριο,</w:t>
      </w:r>
      <w:r w:rsidRPr="008F7E72">
        <w:rPr>
          <w:b/>
          <w:i/>
        </w:rPr>
        <w:t xml:space="preserve"> δεν επιβάλλονται ΔΕΤΕ.</w:t>
      </w:r>
    </w:p>
    <w:p w:rsidR="002976BB" w:rsidRPr="008F7E72" w:rsidRDefault="002976BB" w:rsidP="002976BB">
      <w:pPr>
        <w:rPr>
          <w:b/>
          <w:i/>
        </w:rPr>
      </w:pPr>
    </w:p>
    <w:p w:rsidR="002976BB" w:rsidRPr="008F7E72" w:rsidRDefault="002976BB" w:rsidP="002976BB">
      <w:pPr>
        <w:pStyle w:val="ListParagraph"/>
        <w:numPr>
          <w:ilvl w:val="2"/>
          <w:numId w:val="22"/>
        </w:numPr>
        <w:contextualSpacing/>
        <w:rPr>
          <w:b/>
          <w:i/>
        </w:rPr>
      </w:pPr>
      <w:r w:rsidRPr="008F7E72">
        <w:rPr>
          <w:b/>
          <w:i/>
        </w:rPr>
        <w:t>Οι εγκεκριμένοι χώροι προσκόμισης εμπορευμάτων</w:t>
      </w:r>
    </w:p>
    <w:p w:rsidR="002976BB" w:rsidRPr="008F7E72" w:rsidRDefault="002976BB" w:rsidP="002976BB">
      <w:pPr>
        <w:rPr>
          <w:i/>
        </w:rPr>
      </w:pPr>
    </w:p>
    <w:p w:rsidR="002976BB" w:rsidRPr="008F7E72" w:rsidRDefault="002976BB" w:rsidP="002976BB">
      <w:pPr>
        <w:rPr>
          <w:rFonts w:ascii="Bookman Old Style" w:hAnsi="Bookman Old Style" w:cs="Bookman Old Style"/>
          <w:i/>
          <w:color w:val="000000"/>
          <w:sz w:val="24"/>
          <w:szCs w:val="24"/>
        </w:rPr>
      </w:pPr>
      <w:r w:rsidRPr="008F7E72">
        <w:rPr>
          <w:i/>
        </w:rPr>
        <w:lastRenderedPageBreak/>
        <w:t xml:space="preserve">Οι εγκεκριμένοι χώροι προσκόμισης εμπορευμάτων εμφανίζονται σε έγγραφο που έχει αναρτηθεί στο </w:t>
      </w:r>
      <w:r w:rsidRPr="008F7E72">
        <w:rPr>
          <w:i/>
          <w:lang w:val="en-US"/>
        </w:rPr>
        <w:t>portal</w:t>
      </w:r>
      <w:r w:rsidRPr="008F7E72">
        <w:rPr>
          <w:i/>
        </w:rPr>
        <w:t xml:space="preserve">  του </w:t>
      </w:r>
      <w:proofErr w:type="spellStart"/>
      <w:r w:rsidRPr="008F7E72">
        <w:rPr>
          <w:i/>
          <w:lang w:val="en-US"/>
        </w:rPr>
        <w:t>ICISnet</w:t>
      </w:r>
      <w:proofErr w:type="spellEnd"/>
      <w:r w:rsidRPr="008F7E72">
        <w:rPr>
          <w:i/>
        </w:rPr>
        <w:t xml:space="preserve"> </w:t>
      </w:r>
      <w:r w:rsidRPr="008F7E72">
        <w:rPr>
          <w:rFonts w:ascii="Bookman Old Style" w:hAnsi="Bookman Old Style" w:cs="Bookman Old Style"/>
          <w:i/>
          <w:color w:val="000000"/>
          <w:sz w:val="24"/>
          <w:szCs w:val="24"/>
        </w:rPr>
        <w:t>(</w:t>
      </w:r>
      <w:r w:rsidRPr="008F7E72">
        <w:rPr>
          <w:i/>
        </w:rPr>
        <w:fldChar w:fldCharType="begin"/>
      </w:r>
      <w:r w:rsidRPr="008F7E72">
        <w:rPr>
          <w:i/>
        </w:rPr>
        <w:instrText xml:space="preserve"> HYPERLINK "https://portal.gsis.gr/portal/page/portal/ICISnet/info/forms" </w:instrText>
      </w:r>
      <w:r w:rsidRPr="008F7E72">
        <w:rPr>
          <w:i/>
        </w:rPr>
        <w:fldChar w:fldCharType="separate"/>
      </w:r>
      <w:r w:rsidRPr="008F7E72">
        <w:rPr>
          <w:rStyle w:val="Hyperlink"/>
          <w:rFonts w:ascii="Bookman Old Style" w:hAnsi="Bookman Old Style" w:cs="Bookman Old Style"/>
          <w:i/>
          <w:sz w:val="24"/>
          <w:szCs w:val="24"/>
        </w:rPr>
        <w:t>https://portal.gsis.gr/portal/page/portal/ICISnet/info/forms</w:t>
      </w:r>
      <w:r w:rsidRPr="008F7E72">
        <w:rPr>
          <w:rStyle w:val="Hyperlink"/>
          <w:rFonts w:ascii="Bookman Old Style" w:hAnsi="Bookman Old Style" w:cs="Bookman Old Style"/>
          <w:i/>
          <w:sz w:val="24"/>
          <w:szCs w:val="24"/>
        </w:rPr>
        <w:fldChar w:fldCharType="end"/>
      </w:r>
      <w:r w:rsidRPr="008F7E72">
        <w:rPr>
          <w:rFonts w:ascii="Bookman Old Style" w:hAnsi="Bookman Old Style" w:cs="Bookman Old Style"/>
          <w:i/>
          <w:color w:val="000000"/>
          <w:sz w:val="24"/>
          <w:szCs w:val="24"/>
        </w:rPr>
        <w:t>).</w:t>
      </w:r>
    </w:p>
    <w:p w:rsidR="002976BB" w:rsidRPr="008F7E72" w:rsidRDefault="002976BB" w:rsidP="002976BB">
      <w:pPr>
        <w:rPr>
          <w:rFonts w:ascii="Bookman Old Style" w:hAnsi="Bookman Old Style" w:cs="Bookman Old Style"/>
          <w:i/>
          <w:color w:val="000000"/>
          <w:sz w:val="24"/>
          <w:szCs w:val="24"/>
        </w:rPr>
      </w:pPr>
      <w:r w:rsidRPr="008F7E72">
        <w:rPr>
          <w:rFonts w:ascii="Bookman Old Style" w:hAnsi="Bookman Old Style" w:cs="Bookman Old Style"/>
          <w:i/>
          <w:color w:val="000000"/>
          <w:sz w:val="24"/>
          <w:szCs w:val="24"/>
        </w:rPr>
        <w:t>Οι κωδικοί των τελωνειακών περιβόλων για τα τελωνεία του Πειραιά είναι:</w:t>
      </w:r>
    </w:p>
    <w:p w:rsidR="002976BB" w:rsidRPr="008F7E72" w:rsidRDefault="002976BB" w:rsidP="002976BB">
      <w:pPr>
        <w:rPr>
          <w:rFonts w:ascii="Bookman Old Style" w:hAnsi="Bookman Old Style" w:cs="Bookman Old Style"/>
          <w:i/>
          <w:color w:val="000000"/>
          <w:sz w:val="24"/>
          <w:szCs w:val="24"/>
        </w:rPr>
      </w:pPr>
      <w:r w:rsidRPr="008F7E72">
        <w:rPr>
          <w:rFonts w:ascii="Bookman Old Style" w:hAnsi="Bookman Old Style" w:cs="Bookman Old Style"/>
          <w:b/>
          <w:i/>
          <w:color w:val="000000"/>
          <w:sz w:val="24"/>
          <w:szCs w:val="24"/>
        </w:rPr>
        <w:t>Α΄ τελωνείο Πειραιά</w:t>
      </w:r>
      <w:r w:rsidRPr="008F7E72">
        <w:rPr>
          <w:rFonts w:ascii="Bookman Old Style" w:hAnsi="Bookman Old Style" w:cs="Bookman Old Style"/>
          <w:i/>
          <w:color w:val="000000"/>
          <w:sz w:val="24"/>
          <w:szCs w:val="24"/>
        </w:rPr>
        <w:t xml:space="preserve">  074 Τ.Ε ελωνειακός Περίβολος</w:t>
      </w:r>
    </w:p>
    <w:p w:rsidR="002976BB" w:rsidRPr="008F7E72" w:rsidRDefault="002976BB" w:rsidP="002976BB">
      <w:pPr>
        <w:rPr>
          <w:b/>
          <w:i/>
        </w:rPr>
      </w:pPr>
      <w:r w:rsidRPr="008F7E72">
        <w:rPr>
          <w:rFonts w:ascii="Bookman Old Style" w:hAnsi="Bookman Old Style" w:cs="Bookman Old Style"/>
          <w:b/>
          <w:i/>
          <w:color w:val="000000"/>
          <w:sz w:val="24"/>
          <w:szCs w:val="24"/>
        </w:rPr>
        <w:t xml:space="preserve">Ε΄τελωνείο Πειραιά </w:t>
      </w:r>
    </w:p>
    <w:tbl>
      <w:tblPr>
        <w:tblW w:w="0" w:type="auto"/>
        <w:tblBorders>
          <w:top w:val="nil"/>
          <w:left w:val="nil"/>
          <w:bottom w:val="nil"/>
          <w:right w:val="nil"/>
        </w:tblBorders>
        <w:tblLayout w:type="fixed"/>
        <w:tblLook w:val="0000" w:firstRow="0" w:lastRow="0" w:firstColumn="0" w:lastColumn="0" w:noHBand="0" w:noVBand="0"/>
      </w:tblPr>
      <w:tblGrid>
        <w:gridCol w:w="1462"/>
        <w:gridCol w:w="731"/>
        <w:gridCol w:w="731"/>
        <w:gridCol w:w="1462"/>
      </w:tblGrid>
      <w:tr w:rsidR="002976BB" w:rsidRPr="008F7E72" w:rsidTr="0000629F">
        <w:trPr>
          <w:trHeight w:val="58"/>
        </w:trPr>
        <w:tc>
          <w:tcPr>
            <w:tcW w:w="1462" w:type="dxa"/>
          </w:tcPr>
          <w:p w:rsidR="002976BB" w:rsidRPr="008F7E72" w:rsidRDefault="002976BB" w:rsidP="0000629F">
            <w:pPr>
              <w:autoSpaceDE w:val="0"/>
              <w:autoSpaceDN w:val="0"/>
              <w:adjustRightInd w:val="0"/>
              <w:spacing w:after="0" w:line="240" w:lineRule="auto"/>
              <w:rPr>
                <w:rFonts w:ascii="Calibri" w:hAnsi="Calibri" w:cs="Calibri"/>
                <w:i/>
                <w:color w:val="000000"/>
              </w:rPr>
            </w:pPr>
            <w:r w:rsidRPr="008F7E72">
              <w:rPr>
                <w:rFonts w:ascii="Calibri" w:hAnsi="Calibri" w:cs="Calibri"/>
                <w:i/>
                <w:color w:val="000000"/>
              </w:rPr>
              <w:t>0001</w:t>
            </w:r>
          </w:p>
        </w:tc>
        <w:tc>
          <w:tcPr>
            <w:tcW w:w="1462" w:type="dxa"/>
            <w:gridSpan w:val="2"/>
          </w:tcPr>
          <w:p w:rsidR="002976BB" w:rsidRPr="008F7E72" w:rsidRDefault="002976BB" w:rsidP="0000629F">
            <w:pPr>
              <w:autoSpaceDE w:val="0"/>
              <w:autoSpaceDN w:val="0"/>
              <w:adjustRightInd w:val="0"/>
              <w:spacing w:after="0" w:line="240" w:lineRule="auto"/>
              <w:rPr>
                <w:rFonts w:ascii="Calibri" w:hAnsi="Calibri" w:cs="Calibri"/>
                <w:i/>
                <w:color w:val="000000"/>
              </w:rPr>
            </w:pPr>
            <w:r w:rsidRPr="008F7E72">
              <w:rPr>
                <w:rFonts w:ascii="Calibri" w:hAnsi="Calibri" w:cs="Calibri"/>
                <w:i/>
                <w:color w:val="000000"/>
              </w:rPr>
              <w:t>ΑΠΟΘΗΚΗ  PCDC</w:t>
            </w:r>
          </w:p>
        </w:tc>
        <w:tc>
          <w:tcPr>
            <w:tcW w:w="1462" w:type="dxa"/>
          </w:tcPr>
          <w:p w:rsidR="002976BB" w:rsidRPr="008F7E72" w:rsidRDefault="002976BB" w:rsidP="0000629F">
            <w:pPr>
              <w:autoSpaceDE w:val="0"/>
              <w:autoSpaceDN w:val="0"/>
              <w:adjustRightInd w:val="0"/>
              <w:spacing w:after="0" w:line="240" w:lineRule="auto"/>
              <w:rPr>
                <w:rFonts w:ascii="Calibri" w:hAnsi="Calibri" w:cs="Calibri"/>
                <w:i/>
                <w:color w:val="000000"/>
              </w:rPr>
            </w:pPr>
            <w:r w:rsidRPr="008F7E72">
              <w:rPr>
                <w:rFonts w:ascii="Calibri" w:hAnsi="Calibri" w:cs="Calibri"/>
                <w:i/>
                <w:color w:val="000000"/>
              </w:rPr>
              <w:t xml:space="preserve">              Π.Ε</w:t>
            </w:r>
          </w:p>
        </w:tc>
      </w:tr>
      <w:tr w:rsidR="002976BB" w:rsidRPr="008F7E72" w:rsidTr="0000629F">
        <w:trPr>
          <w:trHeight w:val="58"/>
        </w:trPr>
        <w:tc>
          <w:tcPr>
            <w:tcW w:w="2193" w:type="dxa"/>
            <w:gridSpan w:val="2"/>
          </w:tcPr>
          <w:p w:rsidR="002976BB" w:rsidRPr="008F7E72" w:rsidRDefault="002976BB" w:rsidP="0000629F">
            <w:pPr>
              <w:autoSpaceDE w:val="0"/>
              <w:autoSpaceDN w:val="0"/>
              <w:adjustRightInd w:val="0"/>
              <w:spacing w:after="0" w:line="240" w:lineRule="auto"/>
              <w:rPr>
                <w:rFonts w:ascii="Calibri" w:hAnsi="Calibri" w:cs="Calibri"/>
                <w:i/>
                <w:color w:val="000000"/>
              </w:rPr>
            </w:pPr>
            <w:r w:rsidRPr="008F7E72">
              <w:rPr>
                <w:rFonts w:ascii="Calibri" w:hAnsi="Calibri" w:cs="Calibri"/>
                <w:i/>
                <w:color w:val="000000"/>
              </w:rPr>
              <w:t>0002</w:t>
            </w:r>
          </w:p>
        </w:tc>
        <w:tc>
          <w:tcPr>
            <w:tcW w:w="2193" w:type="dxa"/>
            <w:gridSpan w:val="2"/>
          </w:tcPr>
          <w:p w:rsidR="002976BB" w:rsidRPr="008F7E72" w:rsidRDefault="002976BB" w:rsidP="0000629F">
            <w:pPr>
              <w:autoSpaceDE w:val="0"/>
              <w:autoSpaceDN w:val="0"/>
              <w:adjustRightInd w:val="0"/>
              <w:spacing w:after="0" w:line="240" w:lineRule="auto"/>
              <w:rPr>
                <w:rFonts w:ascii="Calibri" w:hAnsi="Calibri" w:cs="Calibri"/>
                <w:i/>
                <w:color w:val="000000"/>
              </w:rPr>
            </w:pPr>
            <w:r w:rsidRPr="008F7E72">
              <w:rPr>
                <w:rFonts w:ascii="Calibri" w:hAnsi="Calibri" w:cs="Calibri"/>
                <w:i/>
                <w:color w:val="000000"/>
              </w:rPr>
              <w:t>ΥΠΑΙΘΡΙΟ ΣΕΠ</w:t>
            </w:r>
          </w:p>
        </w:tc>
      </w:tr>
      <w:tr w:rsidR="002976BB" w:rsidRPr="008F7E72" w:rsidTr="0000629F">
        <w:trPr>
          <w:trHeight w:val="58"/>
        </w:trPr>
        <w:tc>
          <w:tcPr>
            <w:tcW w:w="2193" w:type="dxa"/>
            <w:gridSpan w:val="2"/>
          </w:tcPr>
          <w:p w:rsidR="002976BB" w:rsidRPr="008F7E72" w:rsidRDefault="002976BB" w:rsidP="0000629F">
            <w:pPr>
              <w:autoSpaceDE w:val="0"/>
              <w:autoSpaceDN w:val="0"/>
              <w:adjustRightInd w:val="0"/>
              <w:spacing w:after="0" w:line="240" w:lineRule="auto"/>
              <w:rPr>
                <w:rFonts w:ascii="Calibri" w:hAnsi="Calibri" w:cs="Calibri"/>
                <w:i/>
                <w:color w:val="000000"/>
              </w:rPr>
            </w:pPr>
            <w:r w:rsidRPr="008F7E72">
              <w:rPr>
                <w:rFonts w:ascii="Calibri" w:hAnsi="Calibri" w:cs="Calibri"/>
                <w:i/>
                <w:color w:val="000000"/>
              </w:rPr>
              <w:t>0003</w:t>
            </w:r>
          </w:p>
        </w:tc>
        <w:tc>
          <w:tcPr>
            <w:tcW w:w="2193" w:type="dxa"/>
            <w:gridSpan w:val="2"/>
          </w:tcPr>
          <w:p w:rsidR="002976BB" w:rsidRPr="008F7E72" w:rsidRDefault="002976BB" w:rsidP="0000629F">
            <w:pPr>
              <w:autoSpaceDE w:val="0"/>
              <w:autoSpaceDN w:val="0"/>
              <w:adjustRightInd w:val="0"/>
              <w:spacing w:after="0" w:line="240" w:lineRule="auto"/>
              <w:rPr>
                <w:rFonts w:ascii="Calibri" w:hAnsi="Calibri" w:cs="Calibri"/>
                <w:i/>
                <w:color w:val="000000"/>
              </w:rPr>
            </w:pPr>
            <w:r w:rsidRPr="008F7E72">
              <w:rPr>
                <w:rFonts w:ascii="Calibri" w:hAnsi="Calibri" w:cs="Calibri"/>
                <w:i/>
                <w:color w:val="000000"/>
              </w:rPr>
              <w:t>ΠΥΛΗ ΣΕΠ</w:t>
            </w:r>
          </w:p>
        </w:tc>
      </w:tr>
      <w:tr w:rsidR="002976BB" w:rsidRPr="008F7E72" w:rsidTr="0000629F">
        <w:trPr>
          <w:trHeight w:val="58"/>
        </w:trPr>
        <w:tc>
          <w:tcPr>
            <w:tcW w:w="2193" w:type="dxa"/>
            <w:gridSpan w:val="2"/>
          </w:tcPr>
          <w:p w:rsidR="002976BB" w:rsidRPr="008F7E72" w:rsidRDefault="002976BB" w:rsidP="0000629F">
            <w:pPr>
              <w:autoSpaceDE w:val="0"/>
              <w:autoSpaceDN w:val="0"/>
              <w:adjustRightInd w:val="0"/>
              <w:spacing w:after="0" w:line="240" w:lineRule="auto"/>
              <w:rPr>
                <w:rFonts w:ascii="Calibri" w:hAnsi="Calibri" w:cs="Calibri"/>
                <w:i/>
                <w:color w:val="000000"/>
              </w:rPr>
            </w:pPr>
            <w:r w:rsidRPr="008F7E72">
              <w:rPr>
                <w:rFonts w:ascii="Calibri" w:hAnsi="Calibri" w:cs="Calibri"/>
                <w:i/>
                <w:color w:val="000000"/>
              </w:rPr>
              <w:t>0004</w:t>
            </w:r>
          </w:p>
        </w:tc>
        <w:tc>
          <w:tcPr>
            <w:tcW w:w="2193" w:type="dxa"/>
            <w:gridSpan w:val="2"/>
          </w:tcPr>
          <w:p w:rsidR="002976BB" w:rsidRPr="008F7E72" w:rsidRDefault="002976BB" w:rsidP="0000629F">
            <w:pPr>
              <w:autoSpaceDE w:val="0"/>
              <w:autoSpaceDN w:val="0"/>
              <w:adjustRightInd w:val="0"/>
              <w:spacing w:after="0" w:line="240" w:lineRule="auto"/>
              <w:rPr>
                <w:rFonts w:ascii="Calibri" w:hAnsi="Calibri" w:cs="Calibri"/>
                <w:i/>
                <w:color w:val="000000"/>
              </w:rPr>
            </w:pPr>
            <w:r w:rsidRPr="008F7E72">
              <w:rPr>
                <w:rFonts w:ascii="Calibri" w:hAnsi="Calibri" w:cs="Calibri"/>
                <w:i/>
                <w:color w:val="000000"/>
              </w:rPr>
              <w:t>ΣΤΑΘΜΟΣ ΤΡΑΙΝΟΥ ΣΕΠ</w:t>
            </w:r>
          </w:p>
        </w:tc>
      </w:tr>
      <w:tr w:rsidR="002976BB" w:rsidRPr="008F7E72" w:rsidTr="0000629F">
        <w:trPr>
          <w:trHeight w:val="58"/>
        </w:trPr>
        <w:tc>
          <w:tcPr>
            <w:tcW w:w="2193" w:type="dxa"/>
            <w:gridSpan w:val="2"/>
          </w:tcPr>
          <w:p w:rsidR="002976BB" w:rsidRPr="008F7E72" w:rsidRDefault="002976BB" w:rsidP="0000629F">
            <w:pPr>
              <w:autoSpaceDE w:val="0"/>
              <w:autoSpaceDN w:val="0"/>
              <w:adjustRightInd w:val="0"/>
              <w:spacing w:after="0" w:line="240" w:lineRule="auto"/>
              <w:rPr>
                <w:rFonts w:ascii="Calibri" w:hAnsi="Calibri" w:cs="Calibri"/>
                <w:i/>
                <w:color w:val="000000"/>
              </w:rPr>
            </w:pPr>
            <w:r w:rsidRPr="008F7E72">
              <w:rPr>
                <w:rFonts w:ascii="Calibri" w:hAnsi="Calibri" w:cs="Calibri"/>
                <w:i/>
                <w:color w:val="000000"/>
              </w:rPr>
              <w:t>0005</w:t>
            </w:r>
          </w:p>
        </w:tc>
        <w:tc>
          <w:tcPr>
            <w:tcW w:w="2193" w:type="dxa"/>
            <w:gridSpan w:val="2"/>
          </w:tcPr>
          <w:p w:rsidR="002976BB" w:rsidRPr="008F7E72" w:rsidRDefault="002976BB" w:rsidP="0000629F">
            <w:pPr>
              <w:autoSpaceDE w:val="0"/>
              <w:autoSpaceDN w:val="0"/>
              <w:adjustRightInd w:val="0"/>
              <w:spacing w:after="0" w:line="240" w:lineRule="auto"/>
              <w:rPr>
                <w:rFonts w:ascii="Calibri" w:hAnsi="Calibri" w:cs="Calibri"/>
                <w:i/>
                <w:color w:val="000000"/>
              </w:rPr>
            </w:pPr>
            <w:r w:rsidRPr="008F7E72">
              <w:rPr>
                <w:rFonts w:ascii="Calibri" w:hAnsi="Calibri" w:cs="Calibri"/>
                <w:i/>
                <w:color w:val="000000"/>
              </w:rPr>
              <w:t>Γ4 - ΟΛΠ</w:t>
            </w:r>
          </w:p>
        </w:tc>
      </w:tr>
      <w:tr w:rsidR="002976BB" w:rsidRPr="008F7E72" w:rsidTr="0000629F">
        <w:trPr>
          <w:trHeight w:val="58"/>
        </w:trPr>
        <w:tc>
          <w:tcPr>
            <w:tcW w:w="2193" w:type="dxa"/>
            <w:gridSpan w:val="2"/>
          </w:tcPr>
          <w:p w:rsidR="002976BB" w:rsidRPr="008F7E72" w:rsidRDefault="002976BB" w:rsidP="0000629F">
            <w:pPr>
              <w:autoSpaceDE w:val="0"/>
              <w:autoSpaceDN w:val="0"/>
              <w:adjustRightInd w:val="0"/>
              <w:spacing w:after="0" w:line="240" w:lineRule="auto"/>
              <w:rPr>
                <w:rFonts w:ascii="Calibri" w:hAnsi="Calibri" w:cs="Calibri"/>
                <w:i/>
                <w:color w:val="000000"/>
              </w:rPr>
            </w:pPr>
            <w:r w:rsidRPr="008F7E72">
              <w:rPr>
                <w:rFonts w:ascii="Calibri" w:hAnsi="Calibri" w:cs="Calibri"/>
                <w:i/>
                <w:color w:val="000000"/>
              </w:rPr>
              <w:t>0006</w:t>
            </w:r>
          </w:p>
        </w:tc>
        <w:tc>
          <w:tcPr>
            <w:tcW w:w="2193" w:type="dxa"/>
            <w:gridSpan w:val="2"/>
          </w:tcPr>
          <w:p w:rsidR="002976BB" w:rsidRPr="008F7E72" w:rsidRDefault="002976BB" w:rsidP="0000629F">
            <w:pPr>
              <w:autoSpaceDE w:val="0"/>
              <w:autoSpaceDN w:val="0"/>
              <w:adjustRightInd w:val="0"/>
              <w:spacing w:after="0" w:line="240" w:lineRule="auto"/>
              <w:rPr>
                <w:rFonts w:ascii="Calibri" w:hAnsi="Calibri" w:cs="Calibri"/>
                <w:i/>
                <w:color w:val="000000"/>
              </w:rPr>
            </w:pPr>
            <w:r w:rsidRPr="008F7E72">
              <w:rPr>
                <w:rFonts w:ascii="Calibri" w:hAnsi="Calibri" w:cs="Calibri"/>
                <w:i/>
                <w:color w:val="000000"/>
              </w:rPr>
              <w:t>ΥΠΑΙΘΡΙΟ ΟΛΠ</w:t>
            </w:r>
          </w:p>
        </w:tc>
      </w:tr>
      <w:tr w:rsidR="002976BB" w:rsidRPr="008F7E72" w:rsidTr="0000629F">
        <w:trPr>
          <w:trHeight w:val="58"/>
        </w:trPr>
        <w:tc>
          <w:tcPr>
            <w:tcW w:w="2193" w:type="dxa"/>
            <w:gridSpan w:val="2"/>
          </w:tcPr>
          <w:p w:rsidR="002976BB" w:rsidRPr="008F7E72" w:rsidRDefault="002976BB" w:rsidP="0000629F">
            <w:pPr>
              <w:autoSpaceDE w:val="0"/>
              <w:autoSpaceDN w:val="0"/>
              <w:adjustRightInd w:val="0"/>
              <w:spacing w:after="0" w:line="240" w:lineRule="auto"/>
              <w:rPr>
                <w:rFonts w:ascii="Calibri" w:hAnsi="Calibri" w:cs="Calibri"/>
                <w:i/>
                <w:color w:val="000000"/>
              </w:rPr>
            </w:pPr>
            <w:r w:rsidRPr="008F7E72">
              <w:rPr>
                <w:rFonts w:ascii="Calibri" w:hAnsi="Calibri" w:cs="Calibri"/>
                <w:i/>
                <w:color w:val="000000"/>
              </w:rPr>
              <w:t>0007</w:t>
            </w:r>
          </w:p>
        </w:tc>
        <w:tc>
          <w:tcPr>
            <w:tcW w:w="2193" w:type="dxa"/>
            <w:gridSpan w:val="2"/>
          </w:tcPr>
          <w:p w:rsidR="002976BB" w:rsidRPr="008F7E72" w:rsidRDefault="002976BB" w:rsidP="0000629F">
            <w:pPr>
              <w:autoSpaceDE w:val="0"/>
              <w:autoSpaceDN w:val="0"/>
              <w:adjustRightInd w:val="0"/>
              <w:spacing w:after="0" w:line="240" w:lineRule="auto"/>
              <w:rPr>
                <w:rFonts w:ascii="Calibri" w:hAnsi="Calibri" w:cs="Calibri"/>
                <w:i/>
                <w:color w:val="000000"/>
              </w:rPr>
            </w:pPr>
            <w:r w:rsidRPr="008F7E72">
              <w:rPr>
                <w:rFonts w:ascii="Calibri" w:hAnsi="Calibri" w:cs="Calibri"/>
                <w:i/>
                <w:color w:val="000000"/>
              </w:rPr>
              <w:t>ΠΥΛΗ ΟΛΠ</w:t>
            </w:r>
          </w:p>
        </w:tc>
      </w:tr>
      <w:tr w:rsidR="002976BB" w:rsidRPr="008F7E72" w:rsidTr="0000629F">
        <w:trPr>
          <w:trHeight w:val="73"/>
        </w:trPr>
        <w:tc>
          <w:tcPr>
            <w:tcW w:w="2193" w:type="dxa"/>
            <w:gridSpan w:val="2"/>
          </w:tcPr>
          <w:p w:rsidR="002976BB" w:rsidRPr="008F7E72" w:rsidRDefault="002976BB" w:rsidP="0000629F">
            <w:pPr>
              <w:autoSpaceDE w:val="0"/>
              <w:autoSpaceDN w:val="0"/>
              <w:adjustRightInd w:val="0"/>
              <w:spacing w:after="0" w:line="240" w:lineRule="auto"/>
              <w:rPr>
                <w:rFonts w:ascii="Calibri" w:hAnsi="Calibri" w:cs="Calibri"/>
                <w:i/>
                <w:color w:val="000000"/>
              </w:rPr>
            </w:pPr>
            <w:r w:rsidRPr="008F7E72">
              <w:rPr>
                <w:rFonts w:ascii="Calibri" w:hAnsi="Calibri" w:cs="Calibri"/>
                <w:i/>
                <w:color w:val="000000"/>
              </w:rPr>
              <w:t>0008</w:t>
            </w:r>
          </w:p>
        </w:tc>
        <w:tc>
          <w:tcPr>
            <w:tcW w:w="2193" w:type="dxa"/>
            <w:gridSpan w:val="2"/>
          </w:tcPr>
          <w:p w:rsidR="002976BB" w:rsidRPr="008F7E72" w:rsidRDefault="002976BB" w:rsidP="0000629F">
            <w:pPr>
              <w:autoSpaceDE w:val="0"/>
              <w:autoSpaceDN w:val="0"/>
              <w:adjustRightInd w:val="0"/>
              <w:spacing w:after="0" w:line="240" w:lineRule="auto"/>
              <w:rPr>
                <w:rFonts w:ascii="Calibri" w:hAnsi="Calibri" w:cs="Calibri"/>
                <w:i/>
                <w:color w:val="000000"/>
              </w:rPr>
            </w:pPr>
            <w:r w:rsidRPr="008F7E72">
              <w:rPr>
                <w:rFonts w:ascii="Calibri" w:hAnsi="Calibri" w:cs="Calibri"/>
                <w:i/>
                <w:color w:val="000000"/>
              </w:rPr>
              <w:t>ΣΤΑΘΜΟΣ ΤΡΑΙΝΟΥ ΟΛΠ</w:t>
            </w:r>
          </w:p>
        </w:tc>
      </w:tr>
    </w:tbl>
    <w:p w:rsidR="002976BB" w:rsidRPr="008F7E72" w:rsidRDefault="002976BB" w:rsidP="002976BB">
      <w:pPr>
        <w:rPr>
          <w:i/>
        </w:rPr>
      </w:pPr>
    </w:p>
    <w:p w:rsidR="002976BB" w:rsidRPr="008F7E72" w:rsidRDefault="002976BB" w:rsidP="002976BB">
      <w:pPr>
        <w:rPr>
          <w:b/>
          <w:i/>
        </w:rPr>
      </w:pPr>
      <w:r w:rsidRPr="008F7E72">
        <w:rPr>
          <w:b/>
          <w:i/>
        </w:rPr>
        <w:t>ΣΤ΄ τελωνείο Πειραιά</w:t>
      </w:r>
    </w:p>
    <w:tbl>
      <w:tblPr>
        <w:tblW w:w="0" w:type="auto"/>
        <w:tblBorders>
          <w:top w:val="nil"/>
          <w:left w:val="nil"/>
          <w:bottom w:val="nil"/>
          <w:right w:val="nil"/>
        </w:tblBorders>
        <w:tblLayout w:type="fixed"/>
        <w:tblLook w:val="0000" w:firstRow="0" w:lastRow="0" w:firstColumn="0" w:lastColumn="0" w:noHBand="0" w:noVBand="0"/>
      </w:tblPr>
      <w:tblGrid>
        <w:gridCol w:w="1467"/>
        <w:gridCol w:w="1467"/>
        <w:gridCol w:w="1467"/>
      </w:tblGrid>
      <w:tr w:rsidR="002976BB" w:rsidRPr="008F7E72" w:rsidTr="0000629F">
        <w:trPr>
          <w:trHeight w:val="58"/>
        </w:trPr>
        <w:tc>
          <w:tcPr>
            <w:tcW w:w="1467" w:type="dxa"/>
          </w:tcPr>
          <w:p w:rsidR="002976BB" w:rsidRPr="008F7E72" w:rsidRDefault="002976BB" w:rsidP="0000629F">
            <w:pPr>
              <w:autoSpaceDE w:val="0"/>
              <w:autoSpaceDN w:val="0"/>
              <w:adjustRightInd w:val="0"/>
              <w:spacing w:after="0" w:line="240" w:lineRule="auto"/>
              <w:rPr>
                <w:rFonts w:ascii="Calibri" w:hAnsi="Calibri" w:cs="Calibri"/>
                <w:i/>
                <w:color w:val="000000"/>
              </w:rPr>
            </w:pPr>
            <w:r w:rsidRPr="008F7E72">
              <w:rPr>
                <w:rFonts w:ascii="Calibri" w:hAnsi="Calibri" w:cs="Calibri"/>
                <w:i/>
                <w:color w:val="000000"/>
              </w:rPr>
              <w:t>0001</w:t>
            </w:r>
          </w:p>
        </w:tc>
        <w:tc>
          <w:tcPr>
            <w:tcW w:w="1467" w:type="dxa"/>
          </w:tcPr>
          <w:p w:rsidR="002976BB" w:rsidRPr="008F7E72" w:rsidRDefault="002976BB" w:rsidP="0000629F">
            <w:pPr>
              <w:autoSpaceDE w:val="0"/>
              <w:autoSpaceDN w:val="0"/>
              <w:adjustRightInd w:val="0"/>
              <w:spacing w:after="0" w:line="240" w:lineRule="auto"/>
              <w:rPr>
                <w:rFonts w:ascii="Calibri" w:hAnsi="Calibri" w:cs="Calibri"/>
                <w:i/>
                <w:color w:val="000000"/>
              </w:rPr>
            </w:pPr>
            <w:r w:rsidRPr="008F7E72">
              <w:rPr>
                <w:rFonts w:ascii="Calibri" w:hAnsi="Calibri" w:cs="Calibri"/>
                <w:i/>
                <w:color w:val="000000"/>
              </w:rPr>
              <w:t>ΟΛΠ. Α.Ε.</w:t>
            </w:r>
          </w:p>
        </w:tc>
        <w:tc>
          <w:tcPr>
            <w:tcW w:w="1467" w:type="dxa"/>
          </w:tcPr>
          <w:p w:rsidR="002976BB" w:rsidRPr="008F7E72" w:rsidRDefault="002976BB" w:rsidP="0000629F">
            <w:pPr>
              <w:autoSpaceDE w:val="0"/>
              <w:autoSpaceDN w:val="0"/>
              <w:adjustRightInd w:val="0"/>
              <w:spacing w:after="0" w:line="240" w:lineRule="auto"/>
              <w:rPr>
                <w:rFonts w:ascii="Calibri" w:hAnsi="Calibri" w:cs="Calibri"/>
                <w:i/>
                <w:color w:val="000000"/>
              </w:rPr>
            </w:pPr>
            <w:r w:rsidRPr="008F7E72">
              <w:rPr>
                <w:rFonts w:ascii="Calibri" w:hAnsi="Calibri" w:cs="Calibri"/>
                <w:i/>
                <w:color w:val="000000"/>
              </w:rPr>
              <w:t>Τ.Π.</w:t>
            </w:r>
          </w:p>
          <w:p w:rsidR="002976BB" w:rsidRPr="008F7E72" w:rsidRDefault="002976BB" w:rsidP="0000629F">
            <w:pPr>
              <w:autoSpaceDE w:val="0"/>
              <w:autoSpaceDN w:val="0"/>
              <w:adjustRightInd w:val="0"/>
              <w:spacing w:after="0" w:line="240" w:lineRule="auto"/>
              <w:rPr>
                <w:rFonts w:ascii="Calibri" w:hAnsi="Calibri" w:cs="Calibri"/>
                <w:i/>
                <w:color w:val="000000"/>
              </w:rPr>
            </w:pPr>
          </w:p>
          <w:p w:rsidR="002976BB" w:rsidRPr="008F7E72" w:rsidRDefault="002976BB" w:rsidP="0000629F">
            <w:pPr>
              <w:autoSpaceDE w:val="0"/>
              <w:autoSpaceDN w:val="0"/>
              <w:adjustRightInd w:val="0"/>
              <w:spacing w:after="0" w:line="240" w:lineRule="auto"/>
              <w:rPr>
                <w:rFonts w:ascii="Calibri" w:hAnsi="Calibri" w:cs="Calibri"/>
                <w:i/>
                <w:color w:val="000000"/>
              </w:rPr>
            </w:pPr>
          </w:p>
          <w:p w:rsidR="002976BB" w:rsidRPr="008F7E72" w:rsidRDefault="002976BB" w:rsidP="0000629F">
            <w:pPr>
              <w:autoSpaceDE w:val="0"/>
              <w:autoSpaceDN w:val="0"/>
              <w:adjustRightInd w:val="0"/>
              <w:spacing w:after="0" w:line="240" w:lineRule="auto"/>
              <w:rPr>
                <w:rFonts w:ascii="Calibri" w:hAnsi="Calibri" w:cs="Calibri"/>
                <w:i/>
                <w:color w:val="000000"/>
              </w:rPr>
            </w:pPr>
          </w:p>
          <w:p w:rsidR="002976BB" w:rsidRPr="008F7E72" w:rsidRDefault="002976BB" w:rsidP="0000629F">
            <w:pPr>
              <w:autoSpaceDE w:val="0"/>
              <w:autoSpaceDN w:val="0"/>
              <w:adjustRightInd w:val="0"/>
              <w:spacing w:after="0" w:line="240" w:lineRule="auto"/>
              <w:rPr>
                <w:rFonts w:ascii="Calibri" w:hAnsi="Calibri" w:cs="Calibri"/>
                <w:i/>
                <w:color w:val="000000"/>
              </w:rPr>
            </w:pPr>
          </w:p>
          <w:p w:rsidR="002976BB" w:rsidRPr="008F7E72" w:rsidRDefault="002976BB" w:rsidP="0000629F">
            <w:pPr>
              <w:autoSpaceDE w:val="0"/>
              <w:autoSpaceDN w:val="0"/>
              <w:adjustRightInd w:val="0"/>
              <w:spacing w:after="0" w:line="240" w:lineRule="auto"/>
              <w:rPr>
                <w:rFonts w:ascii="Calibri" w:hAnsi="Calibri" w:cs="Calibri"/>
                <w:i/>
                <w:color w:val="000000"/>
              </w:rPr>
            </w:pPr>
          </w:p>
        </w:tc>
      </w:tr>
    </w:tbl>
    <w:p w:rsidR="002976BB" w:rsidRPr="008F7E72" w:rsidRDefault="002976BB" w:rsidP="002976BB">
      <w:pPr>
        <w:rPr>
          <w:b/>
          <w:i/>
        </w:rPr>
      </w:pPr>
      <w:r w:rsidRPr="008F7E72">
        <w:rPr>
          <w:b/>
          <w:i/>
        </w:rPr>
        <w:t>Τελωνείο Διεθνούς Αερολιμένα Ελ. Βενιζέλος</w:t>
      </w:r>
    </w:p>
    <w:p w:rsidR="002976BB" w:rsidRPr="008F7E72" w:rsidRDefault="002976BB" w:rsidP="002976BB">
      <w:pPr>
        <w:rPr>
          <w:i/>
        </w:rPr>
      </w:pPr>
    </w:p>
    <w:tbl>
      <w:tblPr>
        <w:tblW w:w="0" w:type="auto"/>
        <w:tblBorders>
          <w:top w:val="nil"/>
          <w:left w:val="nil"/>
          <w:bottom w:val="nil"/>
          <w:right w:val="nil"/>
        </w:tblBorders>
        <w:tblLayout w:type="fixed"/>
        <w:tblLook w:val="0000" w:firstRow="0" w:lastRow="0" w:firstColumn="0" w:lastColumn="0" w:noHBand="0" w:noVBand="0"/>
      </w:tblPr>
      <w:tblGrid>
        <w:gridCol w:w="1467"/>
        <w:gridCol w:w="734"/>
        <w:gridCol w:w="733"/>
        <w:gridCol w:w="1468"/>
      </w:tblGrid>
      <w:tr w:rsidR="002976BB" w:rsidRPr="008F7E72" w:rsidTr="0000629F">
        <w:trPr>
          <w:trHeight w:val="58"/>
        </w:trPr>
        <w:tc>
          <w:tcPr>
            <w:tcW w:w="1467" w:type="dxa"/>
          </w:tcPr>
          <w:p w:rsidR="002976BB" w:rsidRPr="008F7E72" w:rsidRDefault="002976BB" w:rsidP="0000629F">
            <w:pPr>
              <w:autoSpaceDE w:val="0"/>
              <w:autoSpaceDN w:val="0"/>
              <w:adjustRightInd w:val="0"/>
              <w:spacing w:after="0" w:line="240" w:lineRule="auto"/>
              <w:rPr>
                <w:rFonts w:ascii="Calibri" w:hAnsi="Calibri" w:cs="Calibri"/>
                <w:i/>
                <w:color w:val="000000"/>
              </w:rPr>
            </w:pPr>
            <w:r w:rsidRPr="008F7E72">
              <w:rPr>
                <w:rFonts w:ascii="Calibri" w:hAnsi="Calibri" w:cs="Calibri"/>
                <w:i/>
                <w:color w:val="000000"/>
              </w:rPr>
              <w:t>0001</w:t>
            </w:r>
          </w:p>
        </w:tc>
        <w:tc>
          <w:tcPr>
            <w:tcW w:w="1467" w:type="dxa"/>
            <w:gridSpan w:val="2"/>
          </w:tcPr>
          <w:p w:rsidR="002976BB" w:rsidRPr="008F7E72" w:rsidRDefault="002976BB" w:rsidP="0000629F">
            <w:pPr>
              <w:autoSpaceDE w:val="0"/>
              <w:autoSpaceDN w:val="0"/>
              <w:adjustRightInd w:val="0"/>
              <w:spacing w:after="0" w:line="240" w:lineRule="auto"/>
              <w:rPr>
                <w:rFonts w:ascii="Calibri" w:hAnsi="Calibri" w:cs="Calibri"/>
                <w:i/>
                <w:color w:val="000000"/>
              </w:rPr>
            </w:pPr>
            <w:r w:rsidRPr="008F7E72">
              <w:rPr>
                <w:rFonts w:ascii="Calibri" w:hAnsi="Calibri" w:cs="Calibri"/>
                <w:i/>
                <w:color w:val="000000"/>
              </w:rPr>
              <w:t>OLYMPIC HANDLING</w:t>
            </w:r>
          </w:p>
        </w:tc>
        <w:tc>
          <w:tcPr>
            <w:tcW w:w="1467" w:type="dxa"/>
          </w:tcPr>
          <w:p w:rsidR="002976BB" w:rsidRPr="008F7E72" w:rsidRDefault="002976BB" w:rsidP="0000629F">
            <w:pPr>
              <w:autoSpaceDE w:val="0"/>
              <w:autoSpaceDN w:val="0"/>
              <w:adjustRightInd w:val="0"/>
              <w:spacing w:after="0" w:line="240" w:lineRule="auto"/>
              <w:rPr>
                <w:rFonts w:ascii="Calibri" w:hAnsi="Calibri" w:cs="Calibri"/>
                <w:i/>
                <w:color w:val="000000"/>
              </w:rPr>
            </w:pPr>
            <w:r w:rsidRPr="008F7E72">
              <w:rPr>
                <w:rFonts w:ascii="Calibri" w:hAnsi="Calibri" w:cs="Calibri"/>
                <w:i/>
                <w:color w:val="000000"/>
              </w:rPr>
              <w:t>Π.Ε.</w:t>
            </w:r>
          </w:p>
        </w:tc>
      </w:tr>
      <w:tr w:rsidR="002976BB" w:rsidRPr="008F7E72" w:rsidTr="0000629F">
        <w:trPr>
          <w:trHeight w:val="58"/>
        </w:trPr>
        <w:tc>
          <w:tcPr>
            <w:tcW w:w="1467" w:type="dxa"/>
          </w:tcPr>
          <w:p w:rsidR="002976BB" w:rsidRPr="008F7E72" w:rsidRDefault="002976BB" w:rsidP="0000629F">
            <w:pPr>
              <w:autoSpaceDE w:val="0"/>
              <w:autoSpaceDN w:val="0"/>
              <w:adjustRightInd w:val="0"/>
              <w:spacing w:after="0" w:line="240" w:lineRule="auto"/>
              <w:rPr>
                <w:rFonts w:ascii="Calibri" w:hAnsi="Calibri" w:cs="Calibri"/>
                <w:i/>
                <w:color w:val="000000"/>
              </w:rPr>
            </w:pPr>
            <w:r w:rsidRPr="008F7E72">
              <w:rPr>
                <w:rFonts w:ascii="Calibri" w:hAnsi="Calibri" w:cs="Calibri"/>
                <w:i/>
                <w:color w:val="000000"/>
              </w:rPr>
              <w:t>0002</w:t>
            </w:r>
          </w:p>
        </w:tc>
        <w:tc>
          <w:tcPr>
            <w:tcW w:w="1467" w:type="dxa"/>
            <w:gridSpan w:val="2"/>
          </w:tcPr>
          <w:p w:rsidR="002976BB" w:rsidRPr="008F7E72" w:rsidRDefault="002976BB" w:rsidP="0000629F">
            <w:pPr>
              <w:autoSpaceDE w:val="0"/>
              <w:autoSpaceDN w:val="0"/>
              <w:adjustRightInd w:val="0"/>
              <w:spacing w:after="0" w:line="240" w:lineRule="auto"/>
              <w:rPr>
                <w:rFonts w:ascii="Calibri" w:hAnsi="Calibri" w:cs="Calibri"/>
                <w:i/>
                <w:color w:val="000000"/>
              </w:rPr>
            </w:pPr>
            <w:r w:rsidRPr="008F7E72">
              <w:rPr>
                <w:rFonts w:ascii="Calibri" w:hAnsi="Calibri" w:cs="Calibri"/>
                <w:i/>
                <w:color w:val="000000"/>
              </w:rPr>
              <w:t>GOLDAIR HANDLING</w:t>
            </w:r>
          </w:p>
        </w:tc>
        <w:tc>
          <w:tcPr>
            <w:tcW w:w="1467" w:type="dxa"/>
          </w:tcPr>
          <w:p w:rsidR="002976BB" w:rsidRPr="008F7E72" w:rsidRDefault="002976BB" w:rsidP="0000629F">
            <w:pPr>
              <w:autoSpaceDE w:val="0"/>
              <w:autoSpaceDN w:val="0"/>
              <w:adjustRightInd w:val="0"/>
              <w:spacing w:after="0" w:line="240" w:lineRule="auto"/>
              <w:rPr>
                <w:rFonts w:ascii="Calibri" w:hAnsi="Calibri" w:cs="Calibri"/>
                <w:i/>
                <w:color w:val="000000"/>
              </w:rPr>
            </w:pPr>
            <w:r w:rsidRPr="008F7E72">
              <w:rPr>
                <w:rFonts w:ascii="Calibri" w:hAnsi="Calibri" w:cs="Calibri"/>
                <w:i/>
                <w:color w:val="000000"/>
              </w:rPr>
              <w:t>Π.Ε.</w:t>
            </w:r>
          </w:p>
        </w:tc>
      </w:tr>
      <w:tr w:rsidR="002976BB" w:rsidRPr="008F7E72" w:rsidTr="0000629F">
        <w:trPr>
          <w:trHeight w:val="58"/>
        </w:trPr>
        <w:tc>
          <w:tcPr>
            <w:tcW w:w="1467" w:type="dxa"/>
          </w:tcPr>
          <w:p w:rsidR="002976BB" w:rsidRPr="008F7E72" w:rsidRDefault="002976BB" w:rsidP="0000629F">
            <w:pPr>
              <w:autoSpaceDE w:val="0"/>
              <w:autoSpaceDN w:val="0"/>
              <w:adjustRightInd w:val="0"/>
              <w:spacing w:after="0" w:line="240" w:lineRule="auto"/>
              <w:rPr>
                <w:rFonts w:ascii="Calibri" w:hAnsi="Calibri" w:cs="Calibri"/>
                <w:i/>
                <w:color w:val="000000"/>
              </w:rPr>
            </w:pPr>
            <w:r w:rsidRPr="008F7E72">
              <w:rPr>
                <w:rFonts w:ascii="Calibri" w:hAnsi="Calibri" w:cs="Calibri"/>
                <w:i/>
                <w:color w:val="000000"/>
              </w:rPr>
              <w:t>0003</w:t>
            </w:r>
          </w:p>
        </w:tc>
        <w:tc>
          <w:tcPr>
            <w:tcW w:w="1467" w:type="dxa"/>
            <w:gridSpan w:val="2"/>
          </w:tcPr>
          <w:p w:rsidR="002976BB" w:rsidRPr="008F7E72" w:rsidRDefault="002976BB" w:rsidP="0000629F">
            <w:pPr>
              <w:autoSpaceDE w:val="0"/>
              <w:autoSpaceDN w:val="0"/>
              <w:adjustRightInd w:val="0"/>
              <w:spacing w:after="0" w:line="240" w:lineRule="auto"/>
              <w:rPr>
                <w:rFonts w:ascii="Calibri" w:hAnsi="Calibri" w:cs="Calibri"/>
                <w:i/>
                <w:color w:val="000000"/>
              </w:rPr>
            </w:pPr>
            <w:r w:rsidRPr="008F7E72">
              <w:rPr>
                <w:rFonts w:ascii="Calibri" w:hAnsi="Calibri" w:cs="Calibri"/>
                <w:i/>
                <w:color w:val="000000"/>
              </w:rPr>
              <w:t>SWISSPORT</w:t>
            </w:r>
          </w:p>
        </w:tc>
        <w:tc>
          <w:tcPr>
            <w:tcW w:w="1467" w:type="dxa"/>
          </w:tcPr>
          <w:p w:rsidR="002976BB" w:rsidRPr="008F7E72" w:rsidRDefault="002976BB" w:rsidP="0000629F">
            <w:pPr>
              <w:autoSpaceDE w:val="0"/>
              <w:autoSpaceDN w:val="0"/>
              <w:adjustRightInd w:val="0"/>
              <w:spacing w:after="0" w:line="240" w:lineRule="auto"/>
              <w:rPr>
                <w:rFonts w:ascii="Calibri" w:hAnsi="Calibri" w:cs="Calibri"/>
                <w:i/>
                <w:color w:val="000000"/>
              </w:rPr>
            </w:pPr>
            <w:r w:rsidRPr="008F7E72">
              <w:rPr>
                <w:rFonts w:ascii="Calibri" w:hAnsi="Calibri" w:cs="Calibri"/>
                <w:i/>
                <w:color w:val="000000"/>
              </w:rPr>
              <w:t>Π.Ε.</w:t>
            </w:r>
          </w:p>
        </w:tc>
      </w:tr>
      <w:tr w:rsidR="002976BB" w:rsidRPr="008F7E72" w:rsidTr="0000629F">
        <w:trPr>
          <w:trHeight w:val="73"/>
        </w:trPr>
        <w:tc>
          <w:tcPr>
            <w:tcW w:w="2201" w:type="dxa"/>
            <w:gridSpan w:val="2"/>
          </w:tcPr>
          <w:p w:rsidR="002976BB" w:rsidRPr="008F7E72" w:rsidRDefault="002976BB" w:rsidP="0000629F">
            <w:pPr>
              <w:autoSpaceDE w:val="0"/>
              <w:autoSpaceDN w:val="0"/>
              <w:adjustRightInd w:val="0"/>
              <w:spacing w:after="0" w:line="240" w:lineRule="auto"/>
              <w:rPr>
                <w:rFonts w:ascii="Calibri" w:hAnsi="Calibri" w:cs="Calibri"/>
                <w:i/>
                <w:color w:val="000000"/>
              </w:rPr>
            </w:pPr>
            <w:r w:rsidRPr="008F7E72">
              <w:rPr>
                <w:rFonts w:ascii="Calibri" w:hAnsi="Calibri" w:cs="Calibri"/>
                <w:i/>
                <w:color w:val="000000"/>
              </w:rPr>
              <w:t>0004</w:t>
            </w:r>
          </w:p>
        </w:tc>
        <w:tc>
          <w:tcPr>
            <w:tcW w:w="2201" w:type="dxa"/>
            <w:gridSpan w:val="2"/>
          </w:tcPr>
          <w:p w:rsidR="002976BB" w:rsidRPr="008F7E72" w:rsidRDefault="002976BB" w:rsidP="0000629F">
            <w:pPr>
              <w:autoSpaceDE w:val="0"/>
              <w:autoSpaceDN w:val="0"/>
              <w:adjustRightInd w:val="0"/>
              <w:spacing w:after="0" w:line="240" w:lineRule="auto"/>
              <w:rPr>
                <w:rFonts w:ascii="Calibri" w:hAnsi="Calibri" w:cs="Calibri"/>
                <w:i/>
                <w:color w:val="000000"/>
              </w:rPr>
            </w:pPr>
            <w:r w:rsidRPr="008F7E72">
              <w:rPr>
                <w:rFonts w:ascii="Calibri" w:hAnsi="Calibri" w:cs="Calibri"/>
                <w:i/>
                <w:color w:val="000000"/>
              </w:rPr>
              <w:t>EAT</w:t>
            </w:r>
          </w:p>
        </w:tc>
      </w:tr>
    </w:tbl>
    <w:p w:rsidR="002976BB" w:rsidRPr="008F7E72" w:rsidRDefault="002976BB" w:rsidP="002976BB">
      <w:pPr>
        <w:rPr>
          <w:i/>
        </w:rPr>
      </w:pPr>
    </w:p>
    <w:p w:rsidR="002976BB" w:rsidRPr="008F7E72" w:rsidRDefault="002976BB" w:rsidP="002976BB">
      <w:pPr>
        <w:pStyle w:val="ListParagraph"/>
        <w:numPr>
          <w:ilvl w:val="1"/>
          <w:numId w:val="22"/>
        </w:numPr>
        <w:contextualSpacing/>
        <w:rPr>
          <w:b/>
          <w:i/>
        </w:rPr>
      </w:pPr>
      <w:r w:rsidRPr="008F7E72">
        <w:rPr>
          <w:b/>
          <w:i/>
        </w:rPr>
        <w:t>Απλουστευμένη διαδικασία εφοδιασμού πλοίων.</w:t>
      </w:r>
    </w:p>
    <w:p w:rsidR="002976BB" w:rsidRPr="008F7E72" w:rsidRDefault="002976BB" w:rsidP="002976BB">
      <w:pPr>
        <w:rPr>
          <w:i/>
        </w:rPr>
      </w:pPr>
      <w:r w:rsidRPr="008F7E72">
        <w:rPr>
          <w:i/>
        </w:rPr>
        <w:t>Εάν το Δελτίο Παράδοσης Εφοδίων προσκομίζεται μαζί με τα εφόδια στην καθορισμένη πύλη εισόδου στον τελωνειακό χώρο για παράδοση εντός του επισήμου ωραρίου</w:t>
      </w:r>
      <w:r w:rsidRPr="008F7E72">
        <w:rPr>
          <w:b/>
          <w:i/>
        </w:rPr>
        <w:t>, δεν επιβάλλονται ΔΕΤΕ</w:t>
      </w:r>
      <w:r w:rsidRPr="008F7E72">
        <w:rPr>
          <w:i/>
        </w:rPr>
        <w:t>, καθόσον ο χώρος της πύλης εισόδου εμπίπτει στην έννοια του τελωνειακού καταστήματος σύμφωνα με το ορισμό που δίνεται στην εγκύκλιο.</w:t>
      </w:r>
    </w:p>
    <w:p w:rsidR="002976BB" w:rsidRPr="008F7E72" w:rsidRDefault="002976BB" w:rsidP="002976BB">
      <w:pPr>
        <w:rPr>
          <w:b/>
          <w:i/>
        </w:rPr>
      </w:pPr>
    </w:p>
    <w:p w:rsidR="002976BB" w:rsidRPr="008F7E72" w:rsidRDefault="002976BB" w:rsidP="002976BB">
      <w:pPr>
        <w:pStyle w:val="NoSpacing"/>
        <w:numPr>
          <w:ilvl w:val="1"/>
          <w:numId w:val="22"/>
        </w:numPr>
        <w:jc w:val="left"/>
        <w:rPr>
          <w:b/>
          <w:i/>
        </w:rPr>
      </w:pPr>
      <w:r w:rsidRPr="008F7E72">
        <w:rPr>
          <w:b/>
          <w:i/>
          <w:lang w:val="el-GR"/>
        </w:rPr>
        <w:lastRenderedPageBreak/>
        <w:t xml:space="preserve"> </w:t>
      </w:r>
      <w:r w:rsidRPr="008F7E72">
        <w:rPr>
          <w:b/>
          <w:i/>
        </w:rPr>
        <w:t>ΔΕΦΚ α</w:t>
      </w:r>
      <w:proofErr w:type="spellStart"/>
      <w:r w:rsidRPr="008F7E72">
        <w:rPr>
          <w:b/>
          <w:i/>
        </w:rPr>
        <w:t>λκοολούχων</w:t>
      </w:r>
      <w:proofErr w:type="spellEnd"/>
      <w:r w:rsidRPr="008F7E72">
        <w:rPr>
          <w:b/>
          <w:i/>
        </w:rPr>
        <w:t xml:space="preserve"> π</w:t>
      </w:r>
      <w:proofErr w:type="spellStart"/>
      <w:r w:rsidRPr="008F7E72">
        <w:rPr>
          <w:b/>
          <w:i/>
        </w:rPr>
        <w:t>οτών</w:t>
      </w:r>
      <w:proofErr w:type="spellEnd"/>
    </w:p>
    <w:p w:rsidR="002976BB" w:rsidRPr="008F7E72" w:rsidRDefault="002976BB" w:rsidP="002976BB">
      <w:pPr>
        <w:pStyle w:val="NoSpacing"/>
        <w:rPr>
          <w:i/>
        </w:rPr>
      </w:pPr>
    </w:p>
    <w:p w:rsidR="002976BB" w:rsidRPr="008F7E72" w:rsidRDefault="002976BB" w:rsidP="002976BB">
      <w:pPr>
        <w:pStyle w:val="NoSpacing"/>
        <w:ind w:left="720"/>
        <w:rPr>
          <w:i/>
          <w:lang w:val="el-GR"/>
        </w:rPr>
      </w:pPr>
      <w:r w:rsidRPr="008F7E72">
        <w:rPr>
          <w:i/>
          <w:lang w:val="el-GR"/>
        </w:rPr>
        <w:t xml:space="preserve">Για τις ΔΕΦΚ των αλκοολούχων ποτών που κατατίθενται μετά την πώληση και έξοδο αυτών από τη φορολογική αποθήκη, </w:t>
      </w:r>
      <w:r w:rsidRPr="008F7E72">
        <w:rPr>
          <w:b/>
          <w:i/>
          <w:lang w:val="el-GR"/>
        </w:rPr>
        <w:t>δεν τίθεται θέμα ΔΕΤΕ</w:t>
      </w:r>
      <w:r w:rsidRPr="008F7E72">
        <w:rPr>
          <w:i/>
          <w:lang w:val="el-GR"/>
        </w:rPr>
        <w:t xml:space="preserve"> καθόσον οι τελωνειακές εργασίες γίνονται στα γραφεία του τελωνείου κατά το επίσημο ωράριο. Πέραν αυτών για τις ΔΕΦΚ </w:t>
      </w:r>
      <w:r w:rsidRPr="008F7E72">
        <w:rPr>
          <w:b/>
          <w:i/>
          <w:lang w:val="el-GR"/>
        </w:rPr>
        <w:t>δεν πρέπει να επιβάλλονται ΔΕΤΕ</w:t>
      </w:r>
      <w:r w:rsidRPr="008F7E72">
        <w:rPr>
          <w:i/>
          <w:lang w:val="el-GR"/>
        </w:rPr>
        <w:t xml:space="preserve"> καθόσον επιβάλλεται το ειδικό τέλος του Ν. 2386/96.</w:t>
      </w:r>
    </w:p>
    <w:p w:rsidR="002976BB" w:rsidRPr="008F7E72" w:rsidRDefault="002976BB" w:rsidP="002976BB">
      <w:pPr>
        <w:rPr>
          <w:b/>
          <w:i/>
        </w:rPr>
      </w:pPr>
    </w:p>
    <w:p w:rsidR="002976BB" w:rsidRPr="008F7E72" w:rsidRDefault="002976BB" w:rsidP="002976BB">
      <w:pPr>
        <w:pStyle w:val="ListParagraph"/>
        <w:numPr>
          <w:ilvl w:val="0"/>
          <w:numId w:val="22"/>
        </w:numPr>
        <w:contextualSpacing/>
        <w:rPr>
          <w:b/>
          <w:i/>
        </w:rPr>
      </w:pPr>
      <w:r w:rsidRPr="008F7E72">
        <w:rPr>
          <w:b/>
          <w:i/>
        </w:rPr>
        <w:t>Περιπτώσεις επιβολής ΔΕΤΕ</w:t>
      </w:r>
    </w:p>
    <w:p w:rsidR="002976BB" w:rsidRPr="008F7E72" w:rsidRDefault="002976BB" w:rsidP="002976BB">
      <w:pPr>
        <w:rPr>
          <w:b/>
          <w:i/>
        </w:rPr>
      </w:pPr>
    </w:p>
    <w:p w:rsidR="002976BB" w:rsidRPr="008F7E72" w:rsidRDefault="002976BB" w:rsidP="002976BB">
      <w:pPr>
        <w:pStyle w:val="ListParagraph"/>
        <w:numPr>
          <w:ilvl w:val="1"/>
          <w:numId w:val="22"/>
        </w:numPr>
        <w:contextualSpacing/>
        <w:rPr>
          <w:b/>
          <w:i/>
        </w:rPr>
      </w:pPr>
      <w:r w:rsidRPr="008F7E72">
        <w:rPr>
          <w:b/>
          <w:i/>
        </w:rPr>
        <w:t>Τελωνειακές εργασίες σε φορολογικές αποθήκες ή αποθήκες τελωνειακής αποταμίευσης.</w:t>
      </w:r>
    </w:p>
    <w:p w:rsidR="002976BB" w:rsidRPr="008F7E72" w:rsidRDefault="002976BB" w:rsidP="002976BB">
      <w:pPr>
        <w:rPr>
          <w:b/>
          <w:i/>
        </w:rPr>
      </w:pPr>
    </w:p>
    <w:p w:rsidR="002976BB" w:rsidRPr="008F7E72" w:rsidRDefault="002976BB" w:rsidP="002976BB">
      <w:pPr>
        <w:pStyle w:val="NoSpacing"/>
        <w:rPr>
          <w:b/>
          <w:i/>
          <w:lang w:val="el-GR"/>
        </w:rPr>
      </w:pPr>
      <w:r w:rsidRPr="008F7E72">
        <w:rPr>
          <w:i/>
          <w:lang w:val="el-GR"/>
        </w:rPr>
        <w:t xml:space="preserve">Οι τελωνειακές εργασίες εξαγωγής ή επανεξαγωγής ή υπαγωγής σε άλλο τελωνειακό καθεστώς (ανάλωση, ενεργητική τελειοποίηση κλπ) που γίνονται σε εμπορεύματα τα οποία βρίσκονται σε φορολογική αποθήκη (αλκοολούχα ποτά, καπνικά) ή αποθήκη τελωνειακής αποταμίευσης, θεωρείται ότι γίνονται ετκός  του τελωνειακού καταστήματος, οπότε για τις διενεργούμενες τελωνειακές εργασίες </w:t>
      </w:r>
      <w:r w:rsidRPr="008F7E72">
        <w:rPr>
          <w:b/>
          <w:i/>
          <w:lang w:val="el-GR"/>
        </w:rPr>
        <w:t>επιβάλλονται ΔΕΤΕ.</w:t>
      </w:r>
    </w:p>
    <w:p w:rsidR="002976BB" w:rsidRPr="008F7E72" w:rsidRDefault="002976BB" w:rsidP="002976BB">
      <w:pPr>
        <w:pStyle w:val="NoSpacing"/>
        <w:rPr>
          <w:i/>
          <w:lang w:val="el-GR"/>
        </w:rPr>
      </w:pPr>
      <w:r w:rsidRPr="008F7E72">
        <w:rPr>
          <w:i/>
          <w:lang w:val="el-GR"/>
        </w:rPr>
        <w:t>Για την αποφυγή επιβάρυνσης με ΔΕΤΕ θα πρέπει τα εμπορεύματα τα προσκομίζονται σε χώρο εγκεκριμένο από το τελωνείο. Αυτό είναι δύσκολο για τα εμπορεύματα που βρίσκονται σε καθεστώς τελωνειακής αποταμίευσης, καθόσον η έξοδος από την αποθήκη τελωνειακής αποταμίευσης δεν μπορεί να γίνει αν δεν έχει ολοκληρωθεί η υπαγωγή στο καθεστώς για το οποίο κατατίθεται η διασάφηση.</w:t>
      </w:r>
    </w:p>
    <w:p w:rsidR="002976BB" w:rsidRPr="008F7E72" w:rsidRDefault="002976BB" w:rsidP="002976BB">
      <w:pPr>
        <w:pStyle w:val="NoSpacing"/>
        <w:rPr>
          <w:i/>
          <w:lang w:val="el-GR"/>
        </w:rPr>
      </w:pPr>
    </w:p>
    <w:p w:rsidR="002976BB" w:rsidRPr="008F7E72" w:rsidRDefault="002976BB" w:rsidP="002976BB">
      <w:pPr>
        <w:pStyle w:val="NoSpacing"/>
        <w:rPr>
          <w:i/>
          <w:lang w:val="el-GR"/>
        </w:rPr>
      </w:pPr>
      <w:r w:rsidRPr="008F7E72">
        <w:rPr>
          <w:i/>
          <w:lang w:val="el-GR"/>
        </w:rPr>
        <w:t xml:space="preserve">Για τα εμπορεύματα που βρίσκονται σε φορολογική αποθήκη αυτό είναι δυνατό, καθόσον η έξοδος μπορεί να γίνει με το </w:t>
      </w:r>
      <w:r w:rsidRPr="008F7E72">
        <w:rPr>
          <w:i/>
          <w:lang w:val="en-US"/>
        </w:rPr>
        <w:t>e</w:t>
      </w:r>
      <w:r w:rsidRPr="008F7E72">
        <w:rPr>
          <w:i/>
          <w:lang w:val="el-GR"/>
        </w:rPr>
        <w:t xml:space="preserve">-ΔΕ. Παρέχεται επίσης η δυνατότητα μεταφοράς των εμπορευμάτων με </w:t>
      </w:r>
      <w:r w:rsidRPr="008F7E72">
        <w:rPr>
          <w:i/>
          <w:lang w:val="en-US"/>
        </w:rPr>
        <w:t>e</w:t>
      </w:r>
      <w:r w:rsidRPr="008F7E72">
        <w:rPr>
          <w:i/>
          <w:lang w:val="el-GR"/>
        </w:rPr>
        <w:t>-ΔΕ σε άλλο τελωνείο, στο οποίο μπορεί να κατατεθεί η διασάφηση εξαγωγής.</w:t>
      </w:r>
    </w:p>
    <w:p w:rsidR="002976BB" w:rsidRPr="008F7E72" w:rsidRDefault="002976BB" w:rsidP="002976BB">
      <w:pPr>
        <w:rPr>
          <w:b/>
          <w:i/>
        </w:rPr>
      </w:pPr>
    </w:p>
    <w:p w:rsidR="002976BB" w:rsidRPr="008F7E72" w:rsidRDefault="002976BB" w:rsidP="002976BB">
      <w:pPr>
        <w:pStyle w:val="ListParagraph"/>
        <w:numPr>
          <w:ilvl w:val="1"/>
          <w:numId w:val="22"/>
        </w:numPr>
        <w:contextualSpacing/>
        <w:rPr>
          <w:b/>
          <w:i/>
        </w:rPr>
      </w:pPr>
      <w:r w:rsidRPr="008F7E72">
        <w:rPr>
          <w:b/>
          <w:i/>
        </w:rPr>
        <w:t>Απλουστευμένη διαδικασία εφοδιασμού πλοίων σε χώρο που δεν υπάρχει πύλη εισόδου τελωνείου.</w:t>
      </w:r>
    </w:p>
    <w:p w:rsidR="002976BB" w:rsidRPr="008F7E72" w:rsidRDefault="002976BB" w:rsidP="002976BB">
      <w:pPr>
        <w:rPr>
          <w:b/>
          <w:i/>
        </w:rPr>
      </w:pPr>
    </w:p>
    <w:p w:rsidR="002976BB" w:rsidRPr="008F7E72" w:rsidRDefault="002976BB" w:rsidP="002976BB">
      <w:pPr>
        <w:rPr>
          <w:b/>
          <w:i/>
        </w:rPr>
      </w:pPr>
      <w:r w:rsidRPr="008F7E72">
        <w:rPr>
          <w:i/>
        </w:rPr>
        <w:t xml:space="preserve">Εάν το Δελτίο Παράδοσης Εφοδίων προσκομίζεται σε χώρο που δεν υπάρχει τελωνειακή επιτήρηση και ως εκ τούτου δεν  υπάρχει συνήθης παρουσία τελωνειακού υπαλλήλου, θα πρέπει να υποβληθεί αίτηση για παρουσία τελωνειακού υπαλλήλου. Στην περίπτωση αυτού </w:t>
      </w:r>
      <w:r w:rsidRPr="008F7E72">
        <w:rPr>
          <w:b/>
          <w:i/>
        </w:rPr>
        <w:t>επιβάλλονται ΔΕΤΕ.</w:t>
      </w:r>
    </w:p>
    <w:p w:rsidR="002976BB" w:rsidRPr="008F7E72" w:rsidRDefault="002976BB" w:rsidP="002976BB">
      <w:pPr>
        <w:rPr>
          <w:b/>
          <w:i/>
        </w:rPr>
      </w:pPr>
    </w:p>
    <w:p w:rsidR="002976BB" w:rsidRPr="008F7E72" w:rsidRDefault="002976BB" w:rsidP="002976BB">
      <w:pPr>
        <w:pStyle w:val="ListParagraph"/>
        <w:numPr>
          <w:ilvl w:val="0"/>
          <w:numId w:val="22"/>
        </w:numPr>
        <w:contextualSpacing/>
        <w:rPr>
          <w:b/>
          <w:i/>
        </w:rPr>
      </w:pPr>
      <w:r w:rsidRPr="008F7E72">
        <w:rPr>
          <w:b/>
          <w:i/>
        </w:rPr>
        <w:t>Συμπέρασμα</w:t>
      </w:r>
    </w:p>
    <w:p w:rsidR="002976BB" w:rsidRPr="008F7E72" w:rsidRDefault="002976BB" w:rsidP="002976BB">
      <w:pPr>
        <w:rPr>
          <w:b/>
          <w:i/>
        </w:rPr>
      </w:pPr>
      <w:r w:rsidRPr="008F7E72">
        <w:rPr>
          <w:i/>
        </w:rPr>
        <w:t xml:space="preserve">Συμφωνα με τις ρυθμίσεις της ως άνω εγκυκλίου και τις διευκρινίσεις που δόθηκαν </w:t>
      </w:r>
      <w:r w:rsidRPr="008F7E72">
        <w:rPr>
          <w:b/>
          <w:i/>
        </w:rPr>
        <w:t>δεν θα πρέπει να επιβάλλονται ΔΕΤΕ στις παρακάτω περιπτώσεις εφοδιασμού πλοίων.</w:t>
      </w:r>
    </w:p>
    <w:p w:rsidR="002976BB" w:rsidRPr="008F7E72" w:rsidRDefault="002976BB" w:rsidP="002976BB">
      <w:pPr>
        <w:pStyle w:val="ListParagraph"/>
        <w:numPr>
          <w:ilvl w:val="0"/>
          <w:numId w:val="23"/>
        </w:numPr>
        <w:contextualSpacing/>
        <w:rPr>
          <w:i/>
        </w:rPr>
      </w:pPr>
      <w:r w:rsidRPr="008F7E72">
        <w:rPr>
          <w:i/>
        </w:rPr>
        <w:t>Κατάθεση διασάφησης εξαγωγής (εφοδιασμού) με προσκόμιση των εμπορευμάτων στον εγκεκριμένο από το τελωνείο χώρο (</w:t>
      </w:r>
      <w:r w:rsidRPr="008F7E72">
        <w:rPr>
          <w:b/>
          <w:i/>
        </w:rPr>
        <w:t xml:space="preserve">τελωνειακή αποθήκη ή τελωνειακό </w:t>
      </w:r>
      <w:r w:rsidRPr="008F7E72">
        <w:rPr>
          <w:b/>
          <w:i/>
        </w:rPr>
        <w:lastRenderedPageBreak/>
        <w:t>περίβολο</w:t>
      </w:r>
      <w:r w:rsidRPr="008F7E72">
        <w:rPr>
          <w:i/>
        </w:rPr>
        <w:t>) και διενέργεια των τελωνειακών εργασιών εντός του ωραρίου λειτουργίας του τελωνείου.</w:t>
      </w:r>
    </w:p>
    <w:p w:rsidR="002976BB" w:rsidRPr="008F7E72" w:rsidRDefault="002976BB" w:rsidP="002976BB">
      <w:pPr>
        <w:pStyle w:val="ListParagraph"/>
        <w:numPr>
          <w:ilvl w:val="0"/>
          <w:numId w:val="23"/>
        </w:numPr>
        <w:contextualSpacing/>
        <w:rPr>
          <w:i/>
        </w:rPr>
      </w:pPr>
      <w:r w:rsidRPr="008F7E72">
        <w:rPr>
          <w:i/>
        </w:rPr>
        <w:t xml:space="preserve">Προσκόμιση του Δελτίου Παράδοσης Εφοδίων </w:t>
      </w:r>
      <w:r w:rsidRPr="008F7E72">
        <w:rPr>
          <w:b/>
          <w:i/>
        </w:rPr>
        <w:t>στην πύλη</w:t>
      </w:r>
      <w:r w:rsidRPr="008F7E72">
        <w:rPr>
          <w:i/>
        </w:rPr>
        <w:t xml:space="preserve"> του τελωνειακού χώρου εντός του ωραρίου λειτουργίας της πύλης.»</w:t>
      </w:r>
    </w:p>
    <w:p w:rsidR="00B067CE" w:rsidRPr="00182106" w:rsidRDefault="00B067CE" w:rsidP="00B067CE">
      <w:pPr>
        <w:pStyle w:val="ListParagraph"/>
        <w:ind w:left="1440"/>
        <w:jc w:val="both"/>
        <w:rPr>
          <w:i/>
        </w:rPr>
      </w:pPr>
    </w:p>
    <w:p w:rsidR="00B067CE" w:rsidRPr="00182106" w:rsidRDefault="00B067CE" w:rsidP="00B067CE">
      <w:pPr>
        <w:pStyle w:val="ListParagraph"/>
        <w:ind w:left="2520"/>
        <w:jc w:val="both"/>
        <w:rPr>
          <w:color w:val="000000"/>
        </w:rPr>
      </w:pPr>
    </w:p>
    <w:p w:rsidR="00B067CE" w:rsidRPr="00C72A04" w:rsidRDefault="00B067CE" w:rsidP="009E02CB">
      <w:pPr>
        <w:pStyle w:val="ListParagraph"/>
        <w:numPr>
          <w:ilvl w:val="0"/>
          <w:numId w:val="20"/>
        </w:numPr>
        <w:contextualSpacing/>
        <w:jc w:val="both"/>
        <w:rPr>
          <w:b/>
          <w:color w:val="000000"/>
          <w:u w:val="single"/>
        </w:rPr>
      </w:pPr>
      <w:r w:rsidRPr="00C72A04">
        <w:rPr>
          <w:b/>
          <w:color w:val="000000"/>
          <w:u w:val="single"/>
        </w:rPr>
        <w:t xml:space="preserve">Παροχή εγγύησης με την μορφή εμπράγματης ασφάλειας. </w:t>
      </w:r>
    </w:p>
    <w:p w:rsidR="002976BB" w:rsidRDefault="002976BB" w:rsidP="002976BB">
      <w:pPr>
        <w:pStyle w:val="ListParagraph"/>
        <w:ind w:left="1080"/>
        <w:contextualSpacing/>
        <w:jc w:val="both"/>
        <w:rPr>
          <w:color w:val="000000"/>
          <w:u w:val="single"/>
        </w:rPr>
      </w:pPr>
    </w:p>
    <w:p w:rsidR="002976BB" w:rsidRDefault="002976BB" w:rsidP="002976BB">
      <w:pPr>
        <w:pStyle w:val="ListParagraph"/>
        <w:ind w:left="1080"/>
        <w:contextualSpacing/>
        <w:jc w:val="both"/>
        <w:rPr>
          <w:color w:val="000000"/>
        </w:rPr>
      </w:pPr>
      <w:r>
        <w:rPr>
          <w:color w:val="000000"/>
        </w:rPr>
        <w:t>Η Δ/νση ΕΦΚ του Υπουργείου Οικονομικών απέρριψε το αίτημα να γίνεται δεκτή η εμπράγματη ασφάλεια που προβλέπεται στο άρθρο 3 της αριθ. Φ 883/99 ΑΥΟ, επειδή στη σχετική Απόφαση για τους εγκεκριμένους αποθηκευτές που ασκούν δραστηριότητα εφοδιασμού πλοίων ισχύει το άρθρο 6 που προβλέπει μόνο την κατάθεση «οικονομικής» (χρηματικής, τραπεζικής, ασφαλιστικής) εγγύησης.</w:t>
      </w:r>
    </w:p>
    <w:p w:rsidR="002976BB" w:rsidRPr="002976BB" w:rsidRDefault="00830E71" w:rsidP="002976BB">
      <w:pPr>
        <w:pStyle w:val="ListParagraph"/>
        <w:ind w:left="1080"/>
        <w:contextualSpacing/>
        <w:jc w:val="both"/>
        <w:rPr>
          <w:color w:val="000000"/>
        </w:rPr>
      </w:pPr>
      <w:r>
        <w:rPr>
          <w:color w:val="000000"/>
        </w:rPr>
        <w:t>Θα συνεχισθεί η προσπάθεια, αν χρειασθεί με τροποποίηση της σχετικής Απόφασης, ώστε να ελαφρυνθεί το βάρος της εγγύησης για τους εγκεκριμένους αποθηκευτές που ασκούν δραστηριότητα εφοδιασμού πλοίων.</w:t>
      </w:r>
    </w:p>
    <w:p w:rsidR="00B067CE" w:rsidRPr="00182106" w:rsidRDefault="00B067CE" w:rsidP="00B067CE">
      <w:pPr>
        <w:pStyle w:val="ListParagraph"/>
        <w:ind w:left="1800"/>
        <w:jc w:val="both"/>
        <w:rPr>
          <w:color w:val="000000"/>
        </w:rPr>
      </w:pPr>
    </w:p>
    <w:p w:rsidR="00B067CE" w:rsidRPr="008F7E72" w:rsidRDefault="00B067CE" w:rsidP="00B067CE">
      <w:pPr>
        <w:pStyle w:val="ListParagraph"/>
        <w:ind w:left="1080"/>
      </w:pPr>
    </w:p>
    <w:p w:rsidR="00B067CE" w:rsidRPr="00C72A04" w:rsidRDefault="00B067CE" w:rsidP="00830E71">
      <w:pPr>
        <w:pStyle w:val="ListParagraph"/>
        <w:numPr>
          <w:ilvl w:val="0"/>
          <w:numId w:val="20"/>
        </w:numPr>
        <w:contextualSpacing/>
        <w:rPr>
          <w:b/>
          <w:u w:val="single"/>
        </w:rPr>
      </w:pPr>
      <w:r w:rsidRPr="00C72A04">
        <w:rPr>
          <w:b/>
          <w:u w:val="single"/>
        </w:rPr>
        <w:t>Αποδέσμευση εγγυήσεων εγκεκριμένων αποθηκευτών</w:t>
      </w:r>
    </w:p>
    <w:p w:rsidR="00C72A04" w:rsidRDefault="00C72A04" w:rsidP="00C72A04">
      <w:pPr>
        <w:pStyle w:val="ListParagraph"/>
        <w:ind w:left="1080"/>
        <w:contextualSpacing/>
        <w:rPr>
          <w:u w:val="single"/>
        </w:rPr>
      </w:pPr>
    </w:p>
    <w:p w:rsidR="00830E71" w:rsidRPr="00830E71" w:rsidRDefault="00830E71" w:rsidP="00830E71">
      <w:pPr>
        <w:contextualSpacing/>
      </w:pPr>
      <w:r>
        <w:t xml:space="preserve">Συνεχίζονται οι προσπάθειες για γρήγορη αποδέσμευση των εγγυήσεων φορολογικών αποθηκών οι οποίες αντικαθίστανται με νεώτερες. Η καθυστέρηση οφείλεται σε μη απάντηση από το Α΄τελωνείο προς την Τελωνειακή Περιφέρεια σχετικά με το αν γεννήθηκαν απαιτήσεις Ειδικού Φόρου Κατανάλωσης κατά τη διάρκεια ισχύος της αντικαθιστέμενης εγγύησης. </w:t>
      </w:r>
    </w:p>
    <w:p w:rsidR="00B067CE" w:rsidRPr="00182106" w:rsidRDefault="00B067CE" w:rsidP="00B067CE">
      <w:pPr>
        <w:rPr>
          <w:i/>
        </w:rPr>
      </w:pPr>
    </w:p>
    <w:p w:rsidR="00B067CE" w:rsidRPr="00182106" w:rsidRDefault="00B067CE" w:rsidP="00B067CE"/>
    <w:p w:rsidR="00B067CE" w:rsidRPr="00182106" w:rsidRDefault="00B067CE" w:rsidP="00830E71">
      <w:pPr>
        <w:pStyle w:val="ListParagraph"/>
        <w:numPr>
          <w:ilvl w:val="0"/>
          <w:numId w:val="20"/>
        </w:numPr>
        <w:contextualSpacing/>
        <w:rPr>
          <w:b/>
        </w:rPr>
      </w:pPr>
      <w:r w:rsidRPr="00182106">
        <w:rPr>
          <w:b/>
        </w:rPr>
        <w:t>Εξωστρέφεια</w:t>
      </w:r>
    </w:p>
    <w:p w:rsidR="00B067CE" w:rsidRPr="008F7E72" w:rsidRDefault="00830E71" w:rsidP="00B067CE">
      <w:r w:rsidRPr="008F7E72">
        <w:t xml:space="preserve">Ελήφθη </w:t>
      </w:r>
      <w:r w:rsidR="00B067CE" w:rsidRPr="008F7E72">
        <w:t>από την Ευρωπαϊκή οργάνωση των εφοδιαστών πλοίων</w:t>
      </w:r>
      <w:r w:rsidR="009E02CB" w:rsidRPr="008F7E72">
        <w:t xml:space="preserve"> </w:t>
      </w:r>
      <w:r w:rsidR="00B067CE" w:rsidRPr="008F7E72">
        <w:rPr>
          <w:lang w:val="en-US"/>
        </w:rPr>
        <w:t>OCEAN</w:t>
      </w:r>
      <w:r w:rsidR="00B067CE" w:rsidRPr="008F7E72">
        <w:t xml:space="preserve"> επιστολή με την οποία ζητείται η συνδρομή του ΠΣΕΠ στην κατάρτιση ενός οδηγού για τον εφοδιασμό πλοίων σε ευρωπαϊκό επίπεδο. Στην επιστολή αυτή θίγεται το θέμα της διαγραφής του ΠΣΕΠ από την </w:t>
      </w:r>
      <w:r w:rsidR="00B067CE" w:rsidRPr="008F7E72">
        <w:rPr>
          <w:lang w:val="en-US"/>
        </w:rPr>
        <w:t>OCEAN</w:t>
      </w:r>
      <w:r w:rsidR="00B067CE" w:rsidRPr="008F7E72">
        <w:t xml:space="preserve">. </w:t>
      </w:r>
    </w:p>
    <w:p w:rsidR="0040275C" w:rsidRPr="008F7E72" w:rsidRDefault="00B067CE" w:rsidP="00B067CE">
      <w:r w:rsidRPr="008F7E72">
        <w:t xml:space="preserve">Το θέμα της συμμετοχής του ΠΣΕΠ στην ευρωπαϊκή οργάνωση </w:t>
      </w:r>
      <w:r w:rsidRPr="008F7E72">
        <w:rPr>
          <w:lang w:val="en-US"/>
        </w:rPr>
        <w:t>OCEAN</w:t>
      </w:r>
      <w:r w:rsidRPr="008F7E72">
        <w:t xml:space="preserve"> θα εξετασθεί και θα ληφθεί σχετική απόφαση προσεχώς.</w:t>
      </w:r>
    </w:p>
    <w:p w:rsidR="009E02CB" w:rsidRDefault="009E02CB" w:rsidP="009E02CB">
      <w:pPr>
        <w:spacing w:line="360" w:lineRule="auto"/>
      </w:pPr>
    </w:p>
    <w:p w:rsidR="009E02CB" w:rsidRPr="009E02CB" w:rsidRDefault="009E02CB" w:rsidP="009E02CB">
      <w:pPr>
        <w:spacing w:line="360" w:lineRule="auto"/>
        <w:rPr>
          <w:b/>
        </w:rPr>
      </w:pPr>
      <w:r w:rsidRPr="009E02CB">
        <w:rPr>
          <w:b/>
        </w:rPr>
        <w:t>ΣΕΠΤΕΜΒΡΙΟΣ 2014</w:t>
      </w:r>
    </w:p>
    <w:p w:rsidR="00B067CE" w:rsidRPr="0090125C" w:rsidRDefault="00B067CE" w:rsidP="00B067CE">
      <w:pPr>
        <w:pStyle w:val="ListParagraph"/>
        <w:spacing w:line="360" w:lineRule="auto"/>
        <w:ind w:left="1800"/>
      </w:pPr>
    </w:p>
    <w:p w:rsidR="00B067CE" w:rsidRPr="009E02CB" w:rsidRDefault="00B067CE" w:rsidP="009E02CB">
      <w:pPr>
        <w:pStyle w:val="ListParagraph"/>
        <w:numPr>
          <w:ilvl w:val="0"/>
          <w:numId w:val="21"/>
        </w:numPr>
        <w:contextualSpacing/>
        <w:rPr>
          <w:b/>
        </w:rPr>
      </w:pPr>
      <w:r w:rsidRPr="009E02CB">
        <w:rPr>
          <w:b/>
        </w:rPr>
        <w:t>Συνάντηση πρόεδρου με την Κ. Ειρήνη Γιαλούρη  ( Νέα Γενική διευθύντρια τελωνείων και Ειδικών Φόρων Κατανάλωσης) με σκοπό την ενημέρωση και επίλυση προβλημάτων του κλάδου.</w:t>
      </w:r>
    </w:p>
    <w:p w:rsidR="009E02CB" w:rsidRDefault="00094DF3" w:rsidP="009E02CB">
      <w:pPr>
        <w:spacing w:after="0" w:line="240" w:lineRule="auto"/>
        <w:jc w:val="both"/>
      </w:pPr>
      <w:r>
        <w:t>Τα θέματα που τέθηκαν υπόψη της είναι:</w:t>
      </w:r>
    </w:p>
    <w:p w:rsidR="00094DF3" w:rsidRDefault="00094DF3" w:rsidP="009E02CB">
      <w:pPr>
        <w:spacing w:after="0" w:line="240" w:lineRule="auto"/>
        <w:jc w:val="both"/>
      </w:pPr>
    </w:p>
    <w:p w:rsidR="00B067CE" w:rsidRPr="008F7E72" w:rsidRDefault="00B067CE" w:rsidP="00094DF3">
      <w:pPr>
        <w:pStyle w:val="ListParagraph"/>
        <w:numPr>
          <w:ilvl w:val="0"/>
          <w:numId w:val="25"/>
        </w:numPr>
        <w:spacing w:after="0" w:line="240" w:lineRule="auto"/>
        <w:jc w:val="both"/>
        <w:rPr>
          <w:b/>
          <w:i/>
        </w:rPr>
      </w:pPr>
      <w:r w:rsidRPr="008F7E72">
        <w:rPr>
          <w:b/>
          <w:i/>
        </w:rPr>
        <w:t>Επίλυση στο θέμα της λύσης των εγγυήσεων</w:t>
      </w:r>
    </w:p>
    <w:p w:rsidR="00B067CE" w:rsidRPr="008F7E72" w:rsidRDefault="00B067CE" w:rsidP="00B067CE">
      <w:pPr>
        <w:ind w:left="720"/>
        <w:rPr>
          <w:i/>
        </w:rPr>
      </w:pPr>
    </w:p>
    <w:p w:rsidR="00830E71" w:rsidRPr="008F7E72" w:rsidRDefault="00830E71" w:rsidP="00B067CE">
      <w:pPr>
        <w:ind w:left="720"/>
        <w:rPr>
          <w:i/>
        </w:rPr>
      </w:pPr>
      <w:r w:rsidRPr="008F7E72">
        <w:rPr>
          <w:i/>
        </w:rPr>
        <w:t xml:space="preserve">Η Γενική Δ/ντρια Τελωνείων κ ΕΦΚ επιλήφθηκε άμεσα με το θέμα της λύσης των αντικαθιστάμενων εγγυήσεων και έδωσε εντολή στην Τελωνειακή Περιφέρεια να λύσει άμεσα της εγγυήσεις εγκεκριμένου αποθηκευτή μέλους του ΠΣΕΠ. Η μη λύση των εγγυήσεων καθυστερούσε επί χρόνια λόγω μη απάντησης από το Α΄τελωνείο Πειραιά σχετικά με την ύπαρξη οφειλής από τον εγκεκριμένο αποθηκευτή σχετιζόμενη με τη λειτουργία της φορολογικής αποθήκης. </w:t>
      </w:r>
    </w:p>
    <w:p w:rsidR="00094DF3" w:rsidRPr="008F7E72" w:rsidRDefault="00094DF3" w:rsidP="00B067CE">
      <w:pPr>
        <w:ind w:left="720"/>
        <w:rPr>
          <w:i/>
        </w:rPr>
      </w:pPr>
    </w:p>
    <w:p w:rsidR="00094DF3" w:rsidRPr="008F7E72" w:rsidRDefault="00094DF3" w:rsidP="00094DF3">
      <w:pPr>
        <w:pStyle w:val="ListParagraph"/>
        <w:numPr>
          <w:ilvl w:val="0"/>
          <w:numId w:val="25"/>
        </w:numPr>
        <w:spacing w:after="0" w:line="240" w:lineRule="auto"/>
        <w:jc w:val="both"/>
        <w:rPr>
          <w:b/>
          <w:i/>
        </w:rPr>
      </w:pPr>
      <w:r w:rsidRPr="008F7E72">
        <w:rPr>
          <w:b/>
          <w:i/>
        </w:rPr>
        <w:t>Ασυμφωνία μεταξύ ολοκληρωμένου πληροφοριακού συστήματος τελωνείων (ΟΠΣΤ) και της τηρούμενης από τους εγκεκριμένους αποθηκευτές λογιστικής και τις εκθέσεις ελέγχου ως προς τα προκύπτοντα αποθέματα των υποκειμένων σε ΕΦΚ εμπορευμάτων. (αρμόδιο Α΄τελωνείο Πειραιά, Δ/νση ΕΦΚ)</w:t>
      </w:r>
    </w:p>
    <w:p w:rsidR="00094DF3" w:rsidRPr="008F7E72" w:rsidRDefault="00094DF3" w:rsidP="00094DF3">
      <w:pPr>
        <w:spacing w:after="0" w:line="240" w:lineRule="auto"/>
        <w:ind w:left="720"/>
        <w:jc w:val="both"/>
        <w:rPr>
          <w:i/>
        </w:rPr>
      </w:pPr>
    </w:p>
    <w:p w:rsidR="00094DF3" w:rsidRPr="008F7E72" w:rsidRDefault="00094DF3" w:rsidP="00094DF3">
      <w:pPr>
        <w:pStyle w:val="ListParagraph"/>
        <w:rPr>
          <w:i/>
        </w:rPr>
      </w:pPr>
    </w:p>
    <w:p w:rsidR="00094DF3" w:rsidRPr="008F7E72" w:rsidRDefault="00094DF3" w:rsidP="00094DF3">
      <w:pPr>
        <w:pStyle w:val="ListParagraph"/>
        <w:rPr>
          <w:i/>
        </w:rPr>
      </w:pPr>
      <w:r w:rsidRPr="008F7E72">
        <w:rPr>
          <w:i/>
        </w:rPr>
        <w:t>Το θέμα αυτό επιβαρύνει τους εγκεκριμένους αποθηκευτές υποκειμένων σε ΕΦΚ προϊόντων, καθόσον τα στοιχεία εισόδου και εξόδου από την φορολογική αποθήκη δεν καταχωρούνταν  στο σύστημα ΟΠΣΤ αυτόματα, αλλά από τελωνειακούς υπαλλήλους οι οποίοι είναι λογικό να έχουν κάνει λάθη λόγω του μεγάλου φόρτου εργασίας (πολλά παραστατικά με χιλιάδες στοιχεία), με αποτέλεσμα να παρεισφρύουν πολλά λάθη και να μην ανταποκρίνονται με τα στοιχεία που τηρούνται στην προβλεπόμενη από τις διατάξεις λογιστική αποθήκης των εγκεκριμένων αποθηκευτών, ούτε με τις εκθέσεις ελέγχου που έχουν πραγματοποιηθεί. Αποτέλεσμα αυτών, παρόλου που έγιναν δεκτές οι εκθέσεις ελέγχου των οριζομένων από το τελωνείο ελεγκτών, δεν έγιναν οι διορθώσεις στο σύστημα ΟΠΣΤ έγκαιρα, με αποτέλεσμα να εξακολουθεί να υπάρχει η ως άνω ασυμφωνία και να ταλαιπωρούνται οι επιχειρήσεις για ένα θέμα που δεν έχουν καμία ευθύνη και καμία δυνατότητα παρέμβασης.</w:t>
      </w:r>
    </w:p>
    <w:p w:rsidR="00094DF3" w:rsidRPr="008F7E72" w:rsidRDefault="00094DF3" w:rsidP="00094DF3">
      <w:pPr>
        <w:pStyle w:val="ListParagraph"/>
        <w:rPr>
          <w:i/>
        </w:rPr>
      </w:pPr>
      <w:r w:rsidRPr="008F7E72">
        <w:rPr>
          <w:i/>
        </w:rPr>
        <w:t>Προτείνουμε, το θέμα αυτό να τακτοποιηθεί για το μέλλον με αποδοχή την απογραφή των εγκεκριμένων αποθηκευτών που θα γίνει σε τακτή προθεσμία που θα καθορισθεί και την καταχώρηση των στοιχείων απογραφής στο σύστημα ΟΠΣΤ..</w:t>
      </w:r>
    </w:p>
    <w:p w:rsidR="00094DF3" w:rsidRPr="008F7E72" w:rsidRDefault="00094DF3" w:rsidP="00094DF3">
      <w:pPr>
        <w:pStyle w:val="ListParagraph"/>
        <w:rPr>
          <w:i/>
        </w:rPr>
      </w:pPr>
      <w:r w:rsidRPr="008F7E72">
        <w:rPr>
          <w:i/>
        </w:rPr>
        <w:t xml:space="preserve">Για τα παρελθόντα έτη από 2000 μέχρι σήμερα για τα οποία υπάρχουν ασφαλώς διαφορές είτε επί πλέον είτε επί έλαττον η υπηρεσία έχει όλα τα απαιτούμενα στοιχεία, παραστατικά εισόδου και εξόδου, εκθέσεις ελέγχου και ετήσιες </w:t>
      </w:r>
      <w:r w:rsidRPr="008F7E72">
        <w:rPr>
          <w:i/>
        </w:rPr>
        <w:lastRenderedPageBreak/>
        <w:t>απογραφές των εγκεκριμένων αποθηκευτών που προσκομίζονταν, στα οποία θα πρέπει να στηριχθεί για να κάνει τη σχετική διαστάυρωση και να προβεί στη διόρθωση των στοιχείων του ΟΠΣΤ.</w:t>
      </w:r>
    </w:p>
    <w:p w:rsidR="00094DF3" w:rsidRPr="008F7E72" w:rsidRDefault="00094DF3" w:rsidP="00094DF3">
      <w:pPr>
        <w:pStyle w:val="ListParagraph"/>
        <w:rPr>
          <w:i/>
        </w:rPr>
      </w:pPr>
    </w:p>
    <w:p w:rsidR="00094DF3" w:rsidRPr="008F7E72" w:rsidRDefault="00094DF3" w:rsidP="00094DF3">
      <w:pPr>
        <w:pStyle w:val="ListParagraph"/>
        <w:numPr>
          <w:ilvl w:val="0"/>
          <w:numId w:val="25"/>
        </w:numPr>
        <w:spacing w:after="0" w:line="240" w:lineRule="auto"/>
        <w:jc w:val="both"/>
        <w:rPr>
          <w:b/>
          <w:i/>
        </w:rPr>
      </w:pPr>
      <w:r w:rsidRPr="008F7E72">
        <w:rPr>
          <w:b/>
          <w:i/>
        </w:rPr>
        <w:t>ΔΕΤΕ. Μη εφαρμογή της τελευταίας εγκύκλιου (αριθ. Δ19Α 5014286/3-6-2014 ) με εφαρμογή από πρώτη Αυγούστου. (αρμόδιο Α΄τελωνείο Πειραιά, Δ/νση 19</w:t>
      </w:r>
      <w:r w:rsidRPr="008F7E72">
        <w:rPr>
          <w:b/>
          <w:i/>
          <w:vertAlign w:val="superscript"/>
        </w:rPr>
        <w:t>η</w:t>
      </w:r>
      <w:r w:rsidRPr="008F7E72">
        <w:rPr>
          <w:b/>
          <w:i/>
        </w:rPr>
        <w:t>)</w:t>
      </w:r>
    </w:p>
    <w:p w:rsidR="00094DF3" w:rsidRPr="008F7E72" w:rsidRDefault="00094DF3" w:rsidP="00094DF3">
      <w:pPr>
        <w:spacing w:after="0" w:line="240" w:lineRule="auto"/>
        <w:jc w:val="both"/>
        <w:rPr>
          <w:i/>
        </w:rPr>
      </w:pPr>
    </w:p>
    <w:p w:rsidR="00094DF3" w:rsidRPr="008F7E72" w:rsidRDefault="00094DF3" w:rsidP="00094DF3">
      <w:pPr>
        <w:spacing w:after="0" w:line="240" w:lineRule="auto"/>
        <w:ind w:left="720"/>
        <w:jc w:val="both"/>
        <w:rPr>
          <w:i/>
        </w:rPr>
      </w:pPr>
      <w:r w:rsidRPr="008F7E72">
        <w:rPr>
          <w:i/>
        </w:rPr>
        <w:t xml:space="preserve">Το Α΄τελωνείο θεωρεί ότι ως τελωνειακό κατάστημα μόνο τα γραφεία του τελωνείου. </w:t>
      </w:r>
    </w:p>
    <w:p w:rsidR="00094DF3" w:rsidRPr="008F7E72" w:rsidRDefault="00094DF3" w:rsidP="00094DF3">
      <w:pPr>
        <w:spacing w:after="0" w:line="240" w:lineRule="auto"/>
        <w:ind w:left="720"/>
        <w:jc w:val="both"/>
        <w:rPr>
          <w:i/>
        </w:rPr>
      </w:pPr>
      <w:r w:rsidRPr="008F7E72">
        <w:rPr>
          <w:i/>
        </w:rPr>
        <w:t xml:space="preserve">Όταν κατατίθεται μία διασάφηση εξαγωγής μία από τις θέσεις του ΕΔΕ που πρέπει να συμπληρώνεται είναι η θέση 30 (τόπος προσκόμισης των εμπορευμάτων). Η θέση αυτή πρέπει να συμπληρώνεται με τον κωδικό που περιλαμβάνεται στο έγγραφο που έχει αναρτηθεί στο </w:t>
      </w:r>
      <w:proofErr w:type="spellStart"/>
      <w:r w:rsidRPr="008F7E72">
        <w:rPr>
          <w:i/>
          <w:lang w:val="en-US"/>
        </w:rPr>
        <w:t>ICISnet</w:t>
      </w:r>
      <w:proofErr w:type="spellEnd"/>
      <w:r w:rsidRPr="008F7E72">
        <w:rPr>
          <w:i/>
        </w:rPr>
        <w:t xml:space="preserve">. </w:t>
      </w:r>
    </w:p>
    <w:p w:rsidR="00094DF3" w:rsidRPr="008F7E72" w:rsidRDefault="00094DF3" w:rsidP="00094DF3">
      <w:pPr>
        <w:spacing w:after="0" w:line="240" w:lineRule="auto"/>
        <w:ind w:left="720"/>
        <w:jc w:val="both"/>
        <w:rPr>
          <w:i/>
        </w:rPr>
      </w:pPr>
      <w:r w:rsidRPr="008F7E72">
        <w:rPr>
          <w:i/>
        </w:rPr>
        <w:t xml:space="preserve">Ο χώρος του Α΄τελωνείου ο οποίος αναφέρεται στη θέση 30 του ΕΔΕ με τον κωδικό 074, πρέπει να θεωρείται ως χώρος του τελωνειακού καταστήματος, εφόσον στο χώρο αυτόν πρέπει να προσκομίζονται τα εξαγόμενα εμπορεύματα κατά την κατάθεση της διασάφησης εξαγωγής και εφόσον η ως άνω διαταγή καθορίζει ως τελωνειακό κατάστημα οποιονδήποτε χώρο στον οποίο «υπάρχει συνήθης  παρουσία ανθρώπινου δυναμικού ή μηχανημάτων». </w:t>
      </w:r>
    </w:p>
    <w:p w:rsidR="00094DF3" w:rsidRPr="008F7E72" w:rsidRDefault="00094DF3" w:rsidP="00094DF3">
      <w:pPr>
        <w:spacing w:after="0" w:line="240" w:lineRule="auto"/>
        <w:ind w:left="720"/>
        <w:jc w:val="both"/>
        <w:rPr>
          <w:i/>
        </w:rPr>
      </w:pPr>
      <w:r w:rsidRPr="008F7E72">
        <w:rPr>
          <w:i/>
        </w:rPr>
        <w:t xml:space="preserve">Στην έννοια αυτή εμπίπτουν επίσης και οι πύλες εισόδου στίς οποίες προσκομίζονται τα εφόδια πριν από την παράδοσή τους στα πλοία. </w:t>
      </w:r>
    </w:p>
    <w:p w:rsidR="00094DF3" w:rsidRPr="008F7E72" w:rsidRDefault="00094DF3" w:rsidP="00094DF3">
      <w:pPr>
        <w:spacing w:after="0" w:line="240" w:lineRule="auto"/>
        <w:ind w:left="720"/>
        <w:jc w:val="both"/>
        <w:rPr>
          <w:i/>
        </w:rPr>
      </w:pPr>
      <w:r w:rsidRPr="008F7E72">
        <w:rPr>
          <w:i/>
        </w:rPr>
        <w:t>Το Α΄τελωνείο Πειραιά θεωρεί ότι ο χώρος που βρίσκεται μπροστά στο τελωνείο είναι χώρος παρκαρίσματος αυτοκινήτων και δεν έχει σχέση με τον τελωνειακό περίβολο.</w:t>
      </w:r>
    </w:p>
    <w:p w:rsidR="00094DF3" w:rsidRPr="008F7E72" w:rsidRDefault="00094DF3" w:rsidP="00094DF3">
      <w:pPr>
        <w:spacing w:after="0" w:line="240" w:lineRule="auto"/>
        <w:ind w:left="720"/>
        <w:jc w:val="both"/>
        <w:rPr>
          <w:i/>
        </w:rPr>
      </w:pPr>
      <w:r w:rsidRPr="008F7E72">
        <w:rPr>
          <w:i/>
        </w:rPr>
        <w:t>Επίσης το Α΄τελωνείο Πειραιά θεωρεί ότι οι πύλες που ανήκουν στην αρμοδιότητά του δεν αποτελούν τελωνειακό χώρο με την έννοια του τελωνειακού καταστήματος.</w:t>
      </w:r>
    </w:p>
    <w:p w:rsidR="00094DF3" w:rsidRPr="008F7E72" w:rsidRDefault="00094DF3" w:rsidP="00094DF3">
      <w:pPr>
        <w:spacing w:after="0" w:line="240" w:lineRule="auto"/>
        <w:ind w:left="720"/>
        <w:jc w:val="both"/>
        <w:rPr>
          <w:i/>
        </w:rPr>
      </w:pPr>
      <w:r w:rsidRPr="008F7E72">
        <w:rPr>
          <w:i/>
        </w:rPr>
        <w:t>Αποτέλεσμα αυτής της αντίληψης είναι η επιβάρυνση όλων των συναλλαγών με ΔΕΤΕ αντίθετα με το άρθρο 52 του Ενωσιακού Τελωνειακού Κώδικα (καν. 952/2013) και αντίθετα με τις οδηγίες που δίνονται με την ως άνω εγκύκλιο διαταγή.</w:t>
      </w:r>
    </w:p>
    <w:p w:rsidR="00094DF3" w:rsidRPr="008F7E72" w:rsidRDefault="00094DF3" w:rsidP="00094DF3">
      <w:pPr>
        <w:spacing w:after="0" w:line="240" w:lineRule="auto"/>
        <w:ind w:left="720"/>
        <w:jc w:val="both"/>
        <w:rPr>
          <w:i/>
        </w:rPr>
      </w:pPr>
      <w:r w:rsidRPr="008F7E72">
        <w:rPr>
          <w:i/>
        </w:rPr>
        <w:t xml:space="preserve">Θεωρούμε ότι θα πρέπει να δοθούν σαφέστερες οδηγίες προκειμένου να κατανοηθεί η έννοια του τελωνειακού καταστήματος. </w:t>
      </w:r>
    </w:p>
    <w:p w:rsidR="00094DF3" w:rsidRPr="008F7E72" w:rsidRDefault="00094DF3" w:rsidP="00094DF3">
      <w:pPr>
        <w:pStyle w:val="ListParagraph"/>
        <w:rPr>
          <w:i/>
        </w:rPr>
      </w:pPr>
    </w:p>
    <w:p w:rsidR="00094DF3" w:rsidRPr="008F7E72" w:rsidRDefault="00094DF3" w:rsidP="00094DF3">
      <w:pPr>
        <w:pStyle w:val="ListParagraph"/>
        <w:numPr>
          <w:ilvl w:val="0"/>
          <w:numId w:val="25"/>
        </w:numPr>
        <w:spacing w:after="0" w:line="240" w:lineRule="auto"/>
        <w:jc w:val="both"/>
        <w:rPr>
          <w:b/>
          <w:i/>
        </w:rPr>
      </w:pPr>
      <w:r w:rsidRPr="008F7E72">
        <w:rPr>
          <w:b/>
          <w:i/>
        </w:rPr>
        <w:t>Αναθεώρηση των εγγυήσεων που προβλέπονται από την αριθ. Φ. 883/99 ΑΥΟ. (αρμόδια Δ/νση ΕΦΚ)</w:t>
      </w:r>
    </w:p>
    <w:p w:rsidR="00094DF3" w:rsidRPr="008F7E72" w:rsidRDefault="00094DF3" w:rsidP="00094DF3">
      <w:pPr>
        <w:pStyle w:val="ListParagraph"/>
        <w:rPr>
          <w:b/>
          <w:i/>
        </w:rPr>
      </w:pPr>
    </w:p>
    <w:p w:rsidR="00094DF3" w:rsidRPr="008F7E72" w:rsidRDefault="00094DF3" w:rsidP="00094DF3">
      <w:pPr>
        <w:pStyle w:val="ListParagraph"/>
        <w:ind w:left="1080"/>
        <w:contextualSpacing/>
        <w:rPr>
          <w:b/>
          <w:i/>
        </w:rPr>
      </w:pPr>
      <w:proofErr w:type="gramStart"/>
      <w:r w:rsidRPr="008F7E72">
        <w:rPr>
          <w:b/>
          <w:i/>
          <w:lang w:val="en-US"/>
        </w:rPr>
        <w:t>VI</w:t>
      </w:r>
      <w:r w:rsidRPr="008F7E72">
        <w:rPr>
          <w:b/>
          <w:i/>
        </w:rPr>
        <w:t>.1. Η εγγύηση για τη χορήγηση άδειας εγκεκριμένου αποθηκευτή και φορολογικής αποθήκης.</w:t>
      </w:r>
      <w:proofErr w:type="gramEnd"/>
    </w:p>
    <w:p w:rsidR="00094DF3" w:rsidRPr="008F7E72" w:rsidRDefault="00094DF3" w:rsidP="00094DF3">
      <w:pPr>
        <w:pStyle w:val="ListParagraph"/>
        <w:rPr>
          <w:i/>
        </w:rPr>
      </w:pPr>
    </w:p>
    <w:p w:rsidR="00094DF3" w:rsidRPr="008F7E72" w:rsidRDefault="00094DF3" w:rsidP="00094DF3">
      <w:pPr>
        <w:pStyle w:val="ListParagraph"/>
        <w:rPr>
          <w:i/>
        </w:rPr>
      </w:pPr>
      <w:r w:rsidRPr="008F7E72">
        <w:rPr>
          <w:i/>
        </w:rPr>
        <w:t>Σύμφωνα με την οδηγία 2008/118/ΕΚ  για την αναγνώριση και λειτουργία φορολογικής αποθήκης παρέχεται η δυνατότητα να ζητείται εγγύηση προκειμένου να καλύπτονται οι κίνδυνοι που ενέχει η παραγωγή, μεταποίηση ή κατοχή και διακίνηση των υποκειμένων  σε ΕΦΚ εμπορευμάτων.</w:t>
      </w:r>
    </w:p>
    <w:p w:rsidR="00094DF3" w:rsidRPr="008F7E72" w:rsidRDefault="00094DF3" w:rsidP="00094DF3">
      <w:pPr>
        <w:pStyle w:val="ListParagraph"/>
        <w:rPr>
          <w:i/>
        </w:rPr>
      </w:pPr>
      <w:r w:rsidRPr="008F7E72">
        <w:rPr>
          <w:i/>
        </w:rPr>
        <w:t xml:space="preserve">Οι διατάξεις της οδηγίας παρέχουν στα κράτη μέλη την ευχέρεια να ρυθμίσουν το θέμα της εγγύησης λαμβάνοντας υπόψη όλους τους παράγοντες μεταξύ των οποίων </w:t>
      </w:r>
      <w:r w:rsidRPr="008F7E72">
        <w:rPr>
          <w:i/>
        </w:rPr>
        <w:lastRenderedPageBreak/>
        <w:t xml:space="preserve">θα πρέπει να είναι και η </w:t>
      </w:r>
      <w:r w:rsidRPr="008F7E72">
        <w:rPr>
          <w:b/>
          <w:i/>
        </w:rPr>
        <w:t>συμπεριφορά του εγκεκριμένου αποθηκευτή</w:t>
      </w:r>
      <w:r w:rsidRPr="008F7E72">
        <w:rPr>
          <w:i/>
        </w:rPr>
        <w:t xml:space="preserve"> κατά τη διάρκεια λειτουργίας της φορολογικής αποθήκης εντός συγκεκριμένης χρονικής περιόδου.</w:t>
      </w:r>
    </w:p>
    <w:p w:rsidR="00094DF3" w:rsidRPr="008F7E72" w:rsidRDefault="00094DF3" w:rsidP="00094DF3">
      <w:pPr>
        <w:pStyle w:val="ListParagraph"/>
        <w:rPr>
          <w:i/>
        </w:rPr>
      </w:pPr>
      <w:r w:rsidRPr="008F7E72">
        <w:rPr>
          <w:i/>
        </w:rPr>
        <w:t>Είναι γνωστό ότι μία εγγύηση είτε με κατάθεση χρημάτων είτε με προσκόμιση εγγυητικής επιστολής ενός χρηματοπιστωτικού οργανισμού (τράπεζα, ασφαλιστική επιχείρηση) επιβαρύνει τις επιχειρήσεις και το κόστος των διακινουμένων εμπορευμάτων. Ως τέτοια επηρεάζει την ανταγωνιστικότητα των εμπορευμάτων. Όταν δε αυτά τα εμπορεύματα απευθύνονται σε μία διεθνή αγορά όπως είναι η αγορά των εφοδιασμών πλοίων γραμμών εξωτερικού και εξαγωγή, η μείωση της ανταγωνιστικότητας επηρεάζει την εξαγωγική δραστηριότητα της εθνικής οικονομίας.</w:t>
      </w:r>
    </w:p>
    <w:p w:rsidR="00094DF3" w:rsidRPr="008F7E72" w:rsidRDefault="00094DF3" w:rsidP="00094DF3">
      <w:pPr>
        <w:pStyle w:val="ListParagraph"/>
        <w:rPr>
          <w:i/>
        </w:rPr>
      </w:pPr>
      <w:r w:rsidRPr="008F7E72">
        <w:rPr>
          <w:i/>
        </w:rPr>
        <w:t>Για το λόγο αυτόν τα κράτη μέλη παρέχουν διάφορες διευκολύνσεις προκειμένου να μην επιβαρύνεται υπερβολικά το κόστος των υποκειμένων σε ΕΦΚ εμπορευμάτων, ιδιαίτερα όταν αυτά πρόκειται να αντιμετωπίσουν τον διεθνή ανταγωνισμό.</w:t>
      </w:r>
    </w:p>
    <w:p w:rsidR="00094DF3" w:rsidRPr="008F7E72" w:rsidRDefault="00094DF3" w:rsidP="00094DF3">
      <w:pPr>
        <w:pStyle w:val="ListParagraph"/>
        <w:rPr>
          <w:i/>
        </w:rPr>
      </w:pPr>
      <w:r w:rsidRPr="008F7E72">
        <w:rPr>
          <w:i/>
        </w:rPr>
        <w:t>Από τα παραπάνω φαίνεται καθαρά ότι:</w:t>
      </w:r>
    </w:p>
    <w:p w:rsidR="00094DF3" w:rsidRPr="008F7E72" w:rsidRDefault="00094DF3" w:rsidP="00094DF3">
      <w:pPr>
        <w:pStyle w:val="ListParagraph"/>
        <w:rPr>
          <w:i/>
        </w:rPr>
      </w:pPr>
      <w:r w:rsidRPr="008F7E72">
        <w:rPr>
          <w:i/>
        </w:rPr>
        <w:t xml:space="preserve">Παρόλο που η σχετική διάταξη της οδηγίας παρέχει στα κράτη μέλη τη δυνατότητα να επιλέξουν τον τρόπο εγγύησης χωρίς κανένα περιορισμό, </w:t>
      </w:r>
    </w:p>
    <w:p w:rsidR="00094DF3" w:rsidRPr="008F7E72" w:rsidRDefault="00094DF3" w:rsidP="00094DF3">
      <w:pPr>
        <w:pStyle w:val="ListParagraph"/>
        <w:rPr>
          <w:i/>
        </w:rPr>
      </w:pPr>
      <w:r w:rsidRPr="008F7E72">
        <w:rPr>
          <w:i/>
        </w:rPr>
        <w:t xml:space="preserve">Παρόλο που στο άρθρο 3 της αριθ. Φ.883/99 ΑΥΟ προβλέπεται, εκτός από την λεγόμενη οικονομική εγγύηση (χρηματική, τραπεζική, ασφαλιστική), να κατατίθεται και προσωπική ή εμπράγματη ασφάλεια, το άρθρο 6 δεν αναγνωρίζει καμία από τα ως άνω είδη εγγύησης και περιορίζει την δυνατότητα εγγύησης για τις εφοδιαστικές επιχειρήσεις μόνο στην «οικονομική». </w:t>
      </w:r>
    </w:p>
    <w:p w:rsidR="00094DF3" w:rsidRPr="008F7E72" w:rsidRDefault="00094DF3" w:rsidP="00094DF3">
      <w:pPr>
        <w:pStyle w:val="ListParagraph"/>
        <w:rPr>
          <w:i/>
        </w:rPr>
      </w:pPr>
      <w:r w:rsidRPr="008F7E72">
        <w:rPr>
          <w:i/>
        </w:rPr>
        <w:t>Θα πρέπει επίσης να σημειωθεί ότι:</w:t>
      </w:r>
    </w:p>
    <w:p w:rsidR="00094DF3" w:rsidRPr="008F7E72" w:rsidRDefault="00094DF3" w:rsidP="00094DF3">
      <w:pPr>
        <w:pStyle w:val="ListParagraph"/>
        <w:numPr>
          <w:ilvl w:val="0"/>
          <w:numId w:val="26"/>
        </w:numPr>
        <w:contextualSpacing/>
        <w:rPr>
          <w:b/>
          <w:i/>
        </w:rPr>
      </w:pPr>
      <w:r w:rsidRPr="008F7E72">
        <w:rPr>
          <w:i/>
        </w:rPr>
        <w:t xml:space="preserve">Στο καθεστώς της τελωνειακής αποταμίευσης σύμφωνα με την αριθ. Τ. 1460/03 ΑΥΟ (άρθρο 3) η εγγύηση πρέπει να καλύπτει το 20% των αποθεμάτων της αποθήκης και μπορεί να είναι τραπεζική κατά το 50% τραπεζική ή ασφαλιστική και κατά το 50% προσωπική. </w:t>
      </w:r>
      <w:r w:rsidRPr="008F7E72">
        <w:rPr>
          <w:b/>
          <w:i/>
        </w:rPr>
        <w:t xml:space="preserve">Είναι φανερό ότι η διάταξη αυτή παρέχει για τα μη κοινοτικά εμπορεύματα μία πολύ ευνοϊκή μεταχείριση, έναντι των αντίστοιχων κοινοτικών εμπορευμάτων που βρίσκονται υπό το καθεστώς της φορολογικής αποθήκης. </w:t>
      </w:r>
    </w:p>
    <w:p w:rsidR="00094DF3" w:rsidRPr="008F7E72" w:rsidRDefault="00094DF3" w:rsidP="00094DF3">
      <w:pPr>
        <w:pStyle w:val="ListParagraph"/>
        <w:numPr>
          <w:ilvl w:val="0"/>
          <w:numId w:val="26"/>
        </w:numPr>
        <w:contextualSpacing/>
        <w:rPr>
          <w:i/>
        </w:rPr>
      </w:pPr>
      <w:r w:rsidRPr="008F7E72">
        <w:rPr>
          <w:i/>
        </w:rPr>
        <w:t xml:space="preserve">Άλλα κράτη μέλη παρέχουν ευκαιρίες </w:t>
      </w:r>
      <w:r w:rsidRPr="008F7E72">
        <w:rPr>
          <w:b/>
          <w:i/>
        </w:rPr>
        <w:t>στους συνεπείς εγκεκριμένους αποθηκευτές</w:t>
      </w:r>
      <w:r w:rsidRPr="008F7E72">
        <w:rPr>
          <w:i/>
        </w:rPr>
        <w:t xml:space="preserve"> να μειώνουν ή να μηδενίζουν την εγγύηση, όταν δεν διαπράττουν καμία παράβαση για ένα δεδομένο χρονικό διάστημα. Μία τέτοια περίπτωση μπορούμε να αναφέρουμε το Ηνωμένο Βασίλειο στο οποίο παρέχεται  η δυνατότητα σε εγκεκριμένους αποθηκευτές που δεν διαπράττουν παραβάσεις επί 2 χρόνια να μειώνεται η εγγύηση στο 50%, σε περίπτωση δε που δεν διαπράττουν παραβάσεις επί  4 χρόνια να μειώνεται η εγγύηση στο 0%.</w:t>
      </w:r>
    </w:p>
    <w:p w:rsidR="00094DF3" w:rsidRPr="008F7E72" w:rsidRDefault="00094DF3" w:rsidP="00094DF3">
      <w:pPr>
        <w:pStyle w:val="ListParagraph"/>
        <w:rPr>
          <w:i/>
        </w:rPr>
      </w:pPr>
      <w:r w:rsidRPr="008F7E72">
        <w:rPr>
          <w:i/>
        </w:rPr>
        <w:lastRenderedPageBreak/>
        <w:t xml:space="preserve">Κατόπιν αυτών, έχοντας υπόψη την έλλειψη ρευστότητας του χρηματοπιστωτικού μας συστήματος,  οι ζητούμενες τραπεζικές ή ασφαλιστικές εγγυήσεις αυξάνουν σημαντικά το κόστος των συναλλαγών που φθάνουν πολλές φορές </w:t>
      </w:r>
      <w:r w:rsidRPr="008F7E72">
        <w:rPr>
          <w:b/>
          <w:i/>
        </w:rPr>
        <w:t>σε απαγορευτικά σημεία για τη συνέχιση των επιχειρησιακών δραστηριοτήτων</w:t>
      </w:r>
      <w:r w:rsidRPr="008F7E72">
        <w:rPr>
          <w:i/>
        </w:rPr>
        <w:t>, παρά τη μείωση κατά 30% για τους Εγκεκριμένους Οικονομικούς φορείς (ΑΕΟ) που έγινε με την αριθ. ΔΕΦΚ 5042838/2013 ΑΥΟ.</w:t>
      </w:r>
    </w:p>
    <w:p w:rsidR="00094DF3" w:rsidRPr="008F7E72" w:rsidRDefault="00094DF3" w:rsidP="00094DF3">
      <w:pPr>
        <w:pStyle w:val="ListParagraph"/>
        <w:rPr>
          <w:i/>
        </w:rPr>
      </w:pPr>
    </w:p>
    <w:p w:rsidR="00094DF3" w:rsidRPr="008F7E72" w:rsidRDefault="00094DF3" w:rsidP="00094DF3">
      <w:pPr>
        <w:pStyle w:val="ListParagraph"/>
        <w:rPr>
          <w:i/>
        </w:rPr>
      </w:pPr>
      <w:r w:rsidRPr="008F7E72">
        <w:rPr>
          <w:i/>
        </w:rPr>
        <w:t>Για τους ως άνω λόγους ζητούμε:</w:t>
      </w:r>
    </w:p>
    <w:p w:rsidR="00094DF3" w:rsidRPr="008F7E72" w:rsidRDefault="00094DF3" w:rsidP="00094DF3">
      <w:pPr>
        <w:pStyle w:val="ListParagraph"/>
        <w:rPr>
          <w:i/>
        </w:rPr>
      </w:pPr>
    </w:p>
    <w:p w:rsidR="00094DF3" w:rsidRPr="008F7E72" w:rsidRDefault="00094DF3" w:rsidP="00094DF3">
      <w:pPr>
        <w:pStyle w:val="ListParagraph"/>
        <w:numPr>
          <w:ilvl w:val="0"/>
          <w:numId w:val="28"/>
        </w:numPr>
        <w:contextualSpacing/>
        <w:rPr>
          <w:i/>
        </w:rPr>
      </w:pPr>
      <w:r w:rsidRPr="008F7E72">
        <w:rPr>
          <w:i/>
        </w:rPr>
        <w:t xml:space="preserve">Να γίνει ανάλογη ρύθμιση με αυτήν που ισχύει στο Ηνωμένο Βασίλειο παρέχοντας τη  δυνατότητα σε έναν εγκεκριμένο αποθηκευτή </w:t>
      </w:r>
      <w:r w:rsidRPr="008F7E72">
        <w:rPr>
          <w:b/>
          <w:i/>
        </w:rPr>
        <w:t>που δεν διαπράττει παραβάσεις</w:t>
      </w:r>
      <w:r w:rsidRPr="008F7E72">
        <w:rPr>
          <w:i/>
        </w:rPr>
        <w:t xml:space="preserve"> για ορισμένη χρονική περίοδο να μειώνει ή να μηδενίζει την εγγύηση, καθόσον ένας τέτοιος εγκεκριμένος αποθηκευτής πρέπει να θεωρείται αξιόπιστος. Η ρύθμιση αυτή μπορεί να συνδυασθεί και με τα πιστοποιητικά του Εγκεκριμένου Οικονομικού Φορέα.</w:t>
      </w:r>
    </w:p>
    <w:p w:rsidR="00094DF3" w:rsidRPr="008F7E72" w:rsidRDefault="00094DF3" w:rsidP="00094DF3">
      <w:pPr>
        <w:pStyle w:val="ListParagraph"/>
        <w:numPr>
          <w:ilvl w:val="0"/>
          <w:numId w:val="28"/>
        </w:numPr>
        <w:contextualSpacing/>
        <w:rPr>
          <w:i/>
        </w:rPr>
      </w:pPr>
      <w:r w:rsidRPr="008F7E72">
        <w:rPr>
          <w:i/>
        </w:rPr>
        <w:t xml:space="preserve">Να παρασχεθεί η δυνατότητα σύστασης εμπράγματης ασφάλειας (προσημείωση, υποθήκη) ως εγγύησης με καθορισμό των όρων σύστασης και λύσης αυτής. </w:t>
      </w:r>
    </w:p>
    <w:p w:rsidR="00094DF3" w:rsidRPr="008F7E72" w:rsidRDefault="00094DF3" w:rsidP="00094DF3">
      <w:pPr>
        <w:pStyle w:val="ListParagraph"/>
        <w:numPr>
          <w:ilvl w:val="0"/>
          <w:numId w:val="28"/>
        </w:numPr>
        <w:contextualSpacing/>
        <w:rPr>
          <w:i/>
        </w:rPr>
      </w:pPr>
      <w:r w:rsidRPr="008F7E72">
        <w:rPr>
          <w:i/>
        </w:rPr>
        <w:t>Να παρασχεθεί η δυνατότητα προσωπικής εγγύησης κατά το 50% όπως ισχύει και στο καθεστώς της τελωνειακής αποταμίευσης.</w:t>
      </w:r>
    </w:p>
    <w:p w:rsidR="00094DF3" w:rsidRPr="008F7E72" w:rsidRDefault="00094DF3" w:rsidP="00094DF3">
      <w:pPr>
        <w:pStyle w:val="ListParagraph"/>
        <w:rPr>
          <w:i/>
        </w:rPr>
      </w:pPr>
    </w:p>
    <w:p w:rsidR="00094DF3" w:rsidRPr="008F7E72" w:rsidRDefault="00094DF3" w:rsidP="00094DF3">
      <w:pPr>
        <w:pStyle w:val="ListParagraph"/>
        <w:ind w:left="1080"/>
        <w:contextualSpacing/>
        <w:rPr>
          <w:b/>
          <w:i/>
        </w:rPr>
      </w:pPr>
      <w:proofErr w:type="gramStart"/>
      <w:r w:rsidRPr="008F7E72">
        <w:rPr>
          <w:b/>
          <w:i/>
          <w:lang w:val="en-US"/>
        </w:rPr>
        <w:t>IV</w:t>
      </w:r>
      <w:r w:rsidRPr="008F7E72">
        <w:rPr>
          <w:b/>
          <w:i/>
        </w:rPr>
        <w:t>.2. Εγγύηση διακίνησης των υποκειμένων σε ΕΦΚ εμπορευμάτων.</w:t>
      </w:r>
      <w:proofErr w:type="gramEnd"/>
      <w:r w:rsidRPr="008F7E72">
        <w:rPr>
          <w:b/>
          <w:i/>
        </w:rPr>
        <w:t xml:space="preserve"> (αρμόδια Δ/νση ΕΦΚ)</w:t>
      </w:r>
    </w:p>
    <w:p w:rsidR="00094DF3" w:rsidRPr="008F7E72" w:rsidRDefault="00094DF3" w:rsidP="00094DF3">
      <w:pPr>
        <w:spacing w:after="0" w:line="240" w:lineRule="auto"/>
        <w:ind w:left="720"/>
        <w:jc w:val="both"/>
        <w:rPr>
          <w:i/>
        </w:rPr>
      </w:pPr>
      <w:r w:rsidRPr="008F7E72">
        <w:rPr>
          <w:i/>
        </w:rPr>
        <w:t>Η εγγύηση διακίνησης υποκειμένων σε ΕΦΚ εμπορευμάτων προς άλλη φορολογική αποθήκη ή προς εξαγωγή,  ρυθμίζεται με το  άρθρο 5 της αριθ. Φ. 883/99 Απόφασης του Υπουργού Οικονομικών, όπως τροποποιήθηκε με την αριθ. ΔΕΦΚ 5042838/2013). Σύμφωνα με τη διάταξη αυτήν, η εγγύηση της φορολογικής αποθήκης πρέπει να καλύπτει κατά 75% τον ΕΦΚ που αναλογεί στα διακινούμενα εμπορεύματα.</w:t>
      </w:r>
    </w:p>
    <w:p w:rsidR="00094DF3" w:rsidRPr="008F7E72" w:rsidRDefault="00094DF3" w:rsidP="00094DF3">
      <w:pPr>
        <w:spacing w:after="0" w:line="240" w:lineRule="auto"/>
        <w:ind w:left="720"/>
        <w:jc w:val="both"/>
        <w:rPr>
          <w:i/>
        </w:rPr>
      </w:pPr>
      <w:r w:rsidRPr="008F7E72">
        <w:rPr>
          <w:i/>
        </w:rPr>
        <w:t xml:space="preserve">Παρά την ως άνω ευνοϊκή ρύθμιση στην πράξη η μειωμένη στο 75% εγγύηση </w:t>
      </w:r>
      <w:r w:rsidRPr="008F7E72">
        <w:rPr>
          <w:b/>
          <w:i/>
        </w:rPr>
        <w:t>δεν εφαρμόζεται</w:t>
      </w:r>
      <w:r w:rsidRPr="008F7E72">
        <w:rPr>
          <w:i/>
        </w:rPr>
        <w:t xml:space="preserve"> επειδή δεν υπάρχει σχετική ηλεκτρονική εφαρμογή στο </w:t>
      </w:r>
      <w:proofErr w:type="spellStart"/>
      <w:r w:rsidRPr="008F7E72">
        <w:rPr>
          <w:i/>
          <w:lang w:val="en-US"/>
        </w:rPr>
        <w:t>ICISnet</w:t>
      </w:r>
      <w:proofErr w:type="spellEnd"/>
      <w:r w:rsidRPr="008F7E72">
        <w:rPr>
          <w:i/>
        </w:rPr>
        <w:t>.</w:t>
      </w:r>
    </w:p>
    <w:p w:rsidR="00094DF3" w:rsidRPr="008F7E72" w:rsidRDefault="00094DF3" w:rsidP="00094DF3">
      <w:pPr>
        <w:spacing w:after="0" w:line="240" w:lineRule="auto"/>
        <w:ind w:left="720"/>
        <w:jc w:val="both"/>
        <w:rPr>
          <w:i/>
        </w:rPr>
      </w:pPr>
      <w:r w:rsidRPr="008F7E72">
        <w:rPr>
          <w:i/>
        </w:rPr>
        <w:t>Έτσι, οι εγκεκριμένοι αποθηκευτές είναι υποχρεωμένοι να καταλογίζουν το 100% της εγγύησης της φορολογικής αποθήκης και σε περίπτωση που αυτή δεν επαρκεί να προσκομίζουν συμπληρωματική εγγύηση μέχρι το 100%, παρά το γεγονός ότι υπάρχει διάταξη που ορίζει ότι η εγγύηση διακίνησης πρέπει να καλύπτει το 75% του ΕΦΚ των διακινουμένων εμπορευμάτων.</w:t>
      </w:r>
    </w:p>
    <w:p w:rsidR="00094DF3" w:rsidRPr="008F7E72" w:rsidRDefault="00094DF3" w:rsidP="00094DF3">
      <w:pPr>
        <w:spacing w:after="0" w:line="240" w:lineRule="auto"/>
        <w:ind w:left="720"/>
        <w:jc w:val="both"/>
        <w:rPr>
          <w:i/>
        </w:rPr>
      </w:pPr>
    </w:p>
    <w:p w:rsidR="00094DF3" w:rsidRPr="008F7E72" w:rsidRDefault="00094DF3" w:rsidP="00094DF3">
      <w:pPr>
        <w:spacing w:after="0" w:line="240" w:lineRule="auto"/>
        <w:ind w:left="720"/>
        <w:jc w:val="both"/>
        <w:rPr>
          <w:i/>
        </w:rPr>
      </w:pPr>
      <w:r w:rsidRPr="008F7E72">
        <w:rPr>
          <w:i/>
        </w:rPr>
        <w:t xml:space="preserve">Κατόπιν αυτών και μέχρι να γίνει η ηλεκτρονική εφαρμογή της ως άνω διάταξης, ζητούμε να εκδοθεί διαταγή με την οποία να δίνεται η δυνατότητα  στον εγκεκριμένο αποθηκευτή, κατά την υποβολή του </w:t>
      </w:r>
      <w:r w:rsidRPr="008F7E72">
        <w:rPr>
          <w:i/>
          <w:lang w:val="en-US"/>
        </w:rPr>
        <w:t>e</w:t>
      </w:r>
      <w:r w:rsidRPr="008F7E72">
        <w:rPr>
          <w:i/>
        </w:rPr>
        <w:t>-ΔΕ να υπολογίζει τον ΕΦΚ των διακινουμένων εμπορευμάτων και των λοιπών εκκρεμών που έχουν ήδη υποβληθεί και παραμένουν σε εκκρεμότητα και εφόσον η σχετική εγγύηση της φορολογικής αποθήκης καλύπτει το 75% αυτών να προχωρά στη διακίνηση αυτών.</w:t>
      </w:r>
    </w:p>
    <w:p w:rsidR="00094DF3" w:rsidRPr="008F7E72" w:rsidRDefault="00094DF3" w:rsidP="00094DF3">
      <w:pPr>
        <w:spacing w:after="0" w:line="240" w:lineRule="auto"/>
        <w:ind w:left="720"/>
        <w:jc w:val="both"/>
        <w:rPr>
          <w:i/>
        </w:rPr>
      </w:pPr>
      <w:r w:rsidRPr="008F7E72">
        <w:rPr>
          <w:i/>
        </w:rPr>
        <w:lastRenderedPageBreak/>
        <w:t xml:space="preserve">Πρέπει επίσης να επισημάνουμε ότι στο καθεστώς της εξωτερικής κοινοτικής διαμετακόμισης προβλέπεται δυνατότητα </w:t>
      </w:r>
      <w:r w:rsidRPr="008F7E72">
        <w:rPr>
          <w:b/>
          <w:i/>
        </w:rPr>
        <w:t>παροχής προσωπικής εγγύησης όταν η διακίνηση γίνεται εντός της Ελλάδος</w:t>
      </w:r>
      <w:r w:rsidRPr="008F7E72">
        <w:rPr>
          <w:i/>
        </w:rPr>
        <w:t>. Θα μπορούσε ανάλογη ρύθμιση να γίνει και για τη διακίνηση υπό καθεστώς αναστολής των υποκειμένων σε ΕΦΚ εμπορευμάτων. Δεν είναι δυνατό να διευκολύνεται περισσότερο η διακίνηση των μη κοινοτικών εμπορευμάτων σε σχέση με τα κοινοτικά.</w:t>
      </w:r>
    </w:p>
    <w:p w:rsidR="00094DF3" w:rsidRPr="008F7E72" w:rsidRDefault="00094DF3" w:rsidP="00094DF3">
      <w:pPr>
        <w:spacing w:after="0" w:line="240" w:lineRule="auto"/>
        <w:ind w:left="720"/>
        <w:jc w:val="both"/>
        <w:rPr>
          <w:i/>
        </w:rPr>
      </w:pPr>
    </w:p>
    <w:p w:rsidR="00094DF3" w:rsidRPr="008F7E72" w:rsidRDefault="00094DF3" w:rsidP="00094DF3">
      <w:pPr>
        <w:spacing w:after="0" w:line="240" w:lineRule="auto"/>
        <w:ind w:left="720"/>
        <w:jc w:val="both"/>
        <w:rPr>
          <w:i/>
        </w:rPr>
      </w:pPr>
    </w:p>
    <w:p w:rsidR="00094DF3" w:rsidRPr="008F7E72" w:rsidRDefault="00094DF3" w:rsidP="00094DF3">
      <w:pPr>
        <w:pStyle w:val="ListParagraph"/>
        <w:spacing w:after="0" w:line="240" w:lineRule="auto"/>
        <w:ind w:left="1080"/>
        <w:contextualSpacing/>
        <w:jc w:val="both"/>
        <w:rPr>
          <w:b/>
          <w:i/>
        </w:rPr>
      </w:pPr>
      <w:r w:rsidRPr="008F7E72">
        <w:rPr>
          <w:b/>
          <w:i/>
          <w:lang w:val="en-US"/>
        </w:rPr>
        <w:t>IV</w:t>
      </w:r>
      <w:r w:rsidRPr="008F7E72">
        <w:rPr>
          <w:b/>
          <w:i/>
        </w:rPr>
        <w:t>.3. Μείωση 30% της ως άνω εγγύησης για Α.Ε.Ο. (αρμόδια Δ/νση ΕΦΚ)</w:t>
      </w:r>
    </w:p>
    <w:p w:rsidR="00094DF3" w:rsidRPr="008F7E72" w:rsidRDefault="00094DF3" w:rsidP="00094DF3">
      <w:pPr>
        <w:spacing w:after="0" w:line="240" w:lineRule="auto"/>
        <w:ind w:left="720"/>
        <w:jc w:val="both"/>
        <w:rPr>
          <w:i/>
        </w:rPr>
      </w:pPr>
    </w:p>
    <w:p w:rsidR="00094DF3" w:rsidRPr="008F7E72" w:rsidRDefault="00094DF3" w:rsidP="00094DF3">
      <w:pPr>
        <w:spacing w:after="0" w:line="240" w:lineRule="auto"/>
        <w:ind w:left="720"/>
        <w:jc w:val="both"/>
        <w:rPr>
          <w:i/>
        </w:rPr>
      </w:pPr>
      <w:r w:rsidRPr="008F7E72">
        <w:rPr>
          <w:i/>
        </w:rPr>
        <w:t>Θεωρούμε ότι όπως μειώθηκε η εγγύηση για τη φορολογική αποθήκη για τους ΑΕΟ κατά 30%, πρέπει να μειωθεί αυτή αντίστοιχα και για τους ΑΕΟ κατά τη διακίνηση των υποκειμένων σε ΕΦΚ εμπορευμάτων, που προβλέπεται στο άρθρο 5 της αριθ. Φ. 883/99 ΑΥΟ, για τους ίδιους λόγους.</w:t>
      </w:r>
    </w:p>
    <w:p w:rsidR="00094DF3" w:rsidRPr="008F7E72" w:rsidRDefault="00094DF3" w:rsidP="00094DF3">
      <w:pPr>
        <w:spacing w:after="0" w:line="240" w:lineRule="auto"/>
        <w:ind w:left="720"/>
        <w:jc w:val="both"/>
        <w:rPr>
          <w:i/>
        </w:rPr>
      </w:pPr>
    </w:p>
    <w:p w:rsidR="00094DF3" w:rsidRPr="008F7E72" w:rsidRDefault="00094DF3" w:rsidP="00094DF3">
      <w:pPr>
        <w:rPr>
          <w:i/>
        </w:rPr>
      </w:pPr>
    </w:p>
    <w:p w:rsidR="00094DF3" w:rsidRPr="008F7E72" w:rsidRDefault="00094DF3" w:rsidP="00094DF3">
      <w:pPr>
        <w:pStyle w:val="ListParagraph"/>
        <w:numPr>
          <w:ilvl w:val="0"/>
          <w:numId w:val="25"/>
        </w:numPr>
        <w:spacing w:after="0" w:line="240" w:lineRule="auto"/>
        <w:jc w:val="both"/>
        <w:rPr>
          <w:b/>
          <w:i/>
        </w:rPr>
      </w:pPr>
      <w:r w:rsidRPr="008F7E72">
        <w:rPr>
          <w:b/>
          <w:i/>
        </w:rPr>
        <w:t>Κατάθεση μιας ενιαίας ΔΕΦΚ ανά μήνα για τα αλκοολούχα ποτά. (αρμόδια Δ/νση ΠΣΤ, Δ/ση Ηλεκτρονικής Διακυβέρνησης)</w:t>
      </w:r>
    </w:p>
    <w:p w:rsidR="00094DF3" w:rsidRPr="008F7E72" w:rsidRDefault="00094DF3" w:rsidP="00094DF3">
      <w:pPr>
        <w:pStyle w:val="ListParagraph"/>
        <w:rPr>
          <w:i/>
        </w:rPr>
      </w:pPr>
    </w:p>
    <w:p w:rsidR="00094DF3" w:rsidRPr="008F7E72" w:rsidRDefault="00094DF3" w:rsidP="00094DF3">
      <w:pPr>
        <w:pStyle w:val="ListParagraph"/>
        <w:rPr>
          <w:i/>
        </w:rPr>
      </w:pPr>
      <w:r w:rsidRPr="008F7E72">
        <w:rPr>
          <w:i/>
        </w:rPr>
        <w:t xml:space="preserve">Ως γνωστό, για τα αλκοολούχα ποτά κατατίθεται μία Δήλωση Ειδικού Φόρου Κατανάλωσης (ΔΕΦΚ) μέχρι τις 25 του επόμενου μήνα,  για όλες τις πωλήσεις που έγιναν κατά τον προηγούμενο μήνα.    </w:t>
      </w:r>
    </w:p>
    <w:p w:rsidR="00094DF3" w:rsidRPr="008F7E72" w:rsidRDefault="00094DF3" w:rsidP="00094DF3">
      <w:pPr>
        <w:pStyle w:val="ListParagraph"/>
        <w:rPr>
          <w:i/>
        </w:rPr>
      </w:pPr>
      <w:r w:rsidRPr="008F7E72">
        <w:rPr>
          <w:i/>
        </w:rPr>
        <w:t>Ενώ μέχρι την εφαρμογή της  ηλεκτρονικής διαδικασίας το θέμα αυτό δεν παρουσίαζε  κανένα πρόβλημα, με την έναρξη εφαρμογής της ηλεκτρονικής εφαρμογής για την ΔΕΦΚ 2-12-2013, θα πρέπει να κατατίθενται περισσότερες ΔΕΦΚ, καθόσον το σύστημα δεν μπορεί να δεχθεί πάνω από 15 περίπου στίχους ανα ΔΕΦΚ, παρόλο που στη φόρμα αναφέρεται ότι μπορούν να καταχωρηθούν στοιχεία μέχρι 999 στίχους. Έτσι για μία περίπτωση ύπαρξης 90 διαφορετικών ειδών, θα πρέπει να κατατεθούν 6 ΔΕΦΚ αντί της μίας που καταθέτονταν με το χειρόγραφο σύστημα.</w:t>
      </w:r>
    </w:p>
    <w:p w:rsidR="00094DF3" w:rsidRPr="008F7E72" w:rsidRDefault="00094DF3" w:rsidP="00094DF3">
      <w:pPr>
        <w:pStyle w:val="ListParagraph"/>
        <w:rPr>
          <w:i/>
        </w:rPr>
      </w:pPr>
      <w:r w:rsidRPr="008F7E72">
        <w:rPr>
          <w:i/>
        </w:rPr>
        <w:t>Πέραν αυτών, η κατάθεση περισσοτέρων της μιας ΔΕΦΚ δημιουργεί προβλήματα στην τήρηση της λογιστικής φορολογικής αποθήκης και ειδικότερα στην πίστωση των σχετικών καταχωρήσεων εισόδου.</w:t>
      </w:r>
    </w:p>
    <w:p w:rsidR="00094DF3" w:rsidRPr="008F7E72" w:rsidRDefault="00094DF3" w:rsidP="00094DF3">
      <w:pPr>
        <w:pStyle w:val="ListParagraph"/>
        <w:rPr>
          <w:i/>
        </w:rPr>
      </w:pPr>
      <w:r w:rsidRPr="008F7E72">
        <w:rPr>
          <w:i/>
        </w:rPr>
        <w:t>Σε σχετικές αναφορές του Συλλόγου μας, δόθηκε η απάντηση ότι θα καταβληθεί προσπάθεια να αναβαθμισθεί το σύστημα ώστε να δέχεται περισσότερα είδη.</w:t>
      </w:r>
    </w:p>
    <w:p w:rsidR="00094DF3" w:rsidRPr="008F7E72" w:rsidRDefault="00094DF3" w:rsidP="00094DF3">
      <w:pPr>
        <w:pStyle w:val="ListParagraph"/>
        <w:rPr>
          <w:i/>
        </w:rPr>
      </w:pPr>
      <w:r w:rsidRPr="008F7E72">
        <w:rPr>
          <w:i/>
        </w:rPr>
        <w:t>Ζητούμε για το θέμα αυτό να ασκηθεί η επιρροή σας για την τεχνική αναβάθμιση του συστήματος.</w:t>
      </w:r>
    </w:p>
    <w:p w:rsidR="00094DF3" w:rsidRPr="008F7E72" w:rsidRDefault="00094DF3" w:rsidP="00094DF3">
      <w:pPr>
        <w:pStyle w:val="ListParagraph"/>
        <w:rPr>
          <w:i/>
        </w:rPr>
      </w:pPr>
    </w:p>
    <w:p w:rsidR="00094DF3" w:rsidRPr="008F7E72" w:rsidRDefault="00094DF3" w:rsidP="00094DF3">
      <w:pPr>
        <w:pStyle w:val="ListParagraph"/>
        <w:numPr>
          <w:ilvl w:val="0"/>
          <w:numId w:val="25"/>
        </w:numPr>
        <w:spacing w:after="0" w:line="240" w:lineRule="auto"/>
        <w:jc w:val="both"/>
        <w:rPr>
          <w:b/>
          <w:i/>
        </w:rPr>
      </w:pPr>
      <w:r w:rsidRPr="008F7E72">
        <w:rPr>
          <w:b/>
          <w:i/>
        </w:rPr>
        <w:t>Κατάθεση μιας ΔΕΦΚ για πολλούς παραλήπτες που βρίσκονται στο ίδιο νησί (Δωδεκάνησο)  (αρμόδιο Α΄τελωνείο, Δ/νση ΕΦΚ)</w:t>
      </w:r>
    </w:p>
    <w:p w:rsidR="00094DF3" w:rsidRPr="008F7E72" w:rsidRDefault="00094DF3" w:rsidP="00094DF3">
      <w:pPr>
        <w:spacing w:after="0" w:line="240" w:lineRule="auto"/>
        <w:jc w:val="both"/>
        <w:rPr>
          <w:i/>
        </w:rPr>
      </w:pPr>
    </w:p>
    <w:p w:rsidR="00094DF3" w:rsidRPr="008F7E72" w:rsidRDefault="00094DF3" w:rsidP="00094DF3">
      <w:pPr>
        <w:spacing w:after="0" w:line="240" w:lineRule="auto"/>
        <w:ind w:left="360"/>
        <w:jc w:val="both"/>
        <w:rPr>
          <w:i/>
        </w:rPr>
      </w:pPr>
      <w:r w:rsidRPr="008F7E72">
        <w:rPr>
          <w:i/>
        </w:rPr>
        <w:lastRenderedPageBreak/>
        <w:t>Με την αριθ. ΔΕΦΚ 5019249/2010 ΑΥΟ ορίζεται ότι όταν τίθενται υποκείμενα σε ΕΦΚ εμπορεύματα σε ανάλωση με προορισμό τη Δωδεκάνησο, οπου ισχύει μειωμένος ΕΦΚ και ΦΠΑ και τα εμπορεύματα προορίζονται για περισσότερους του ενός παραλήπτες στο ίδιο νησί, θα κατατίθεται μία ΔΕΦΚ και θα εκδίδεται μία Άδεια Μεταφοράς για όλους του παραλήπτες.</w:t>
      </w:r>
    </w:p>
    <w:p w:rsidR="00094DF3" w:rsidRPr="008F7E72" w:rsidRDefault="00094DF3" w:rsidP="00094DF3">
      <w:pPr>
        <w:spacing w:after="0" w:line="240" w:lineRule="auto"/>
        <w:ind w:left="360"/>
        <w:jc w:val="both"/>
        <w:rPr>
          <w:i/>
        </w:rPr>
      </w:pPr>
      <w:r w:rsidRPr="008F7E72">
        <w:rPr>
          <w:i/>
        </w:rPr>
        <w:t xml:space="preserve">Στο Α΄τελωνείο αυτή η διάταξη δεν εφαρμόζεται από τότε που άρχισε η εφαρμογή του ηλεκτρονικού συστήματος. </w:t>
      </w:r>
    </w:p>
    <w:p w:rsidR="00094DF3" w:rsidRPr="008F7E72" w:rsidRDefault="00094DF3" w:rsidP="00094DF3">
      <w:pPr>
        <w:spacing w:after="0" w:line="240" w:lineRule="auto"/>
        <w:ind w:left="360"/>
        <w:jc w:val="both"/>
        <w:rPr>
          <w:i/>
        </w:rPr>
      </w:pPr>
      <w:r w:rsidRPr="008F7E72">
        <w:rPr>
          <w:i/>
        </w:rPr>
        <w:t>Θα θέλαμε να ερευνηθεί αν θα πρέπει να προσαρμοσθεί το ηλεκτρονικό σύστημα ώστε να εφαρμόζονται οι ισχύουσες διατάξεις ή αν το Α΄τελωνείο παρακάμπτει τις υπάρχουσες δυνατότητες για έκδοση μιας Άδειας Μεταφοράς και για κατάθεση μιας ΔΕΦΚ για περισσότερους παραλήπτες.</w:t>
      </w:r>
    </w:p>
    <w:p w:rsidR="00094DF3" w:rsidRPr="008F7E72" w:rsidRDefault="00094DF3" w:rsidP="00094DF3">
      <w:pPr>
        <w:spacing w:after="0" w:line="240" w:lineRule="auto"/>
        <w:ind w:left="360"/>
        <w:jc w:val="both"/>
        <w:rPr>
          <w:i/>
        </w:rPr>
      </w:pPr>
      <w:r w:rsidRPr="008F7E72">
        <w:rPr>
          <w:i/>
        </w:rPr>
        <w:t>Κατά πληροφορίες μας το τελωνείο Αθηνών εφαρμόζει τη δυνατότητα κατάθεσης μίας ΔΕΦΚ για περισσότερους παραλήπτες.</w:t>
      </w:r>
    </w:p>
    <w:p w:rsidR="00094DF3" w:rsidRPr="008F7E72" w:rsidRDefault="00094DF3" w:rsidP="00094DF3">
      <w:pPr>
        <w:spacing w:after="0" w:line="240" w:lineRule="auto"/>
        <w:jc w:val="both"/>
        <w:rPr>
          <w:i/>
        </w:rPr>
      </w:pPr>
    </w:p>
    <w:p w:rsidR="00094DF3" w:rsidRPr="008F7E72" w:rsidRDefault="00094DF3" w:rsidP="00094DF3">
      <w:pPr>
        <w:spacing w:after="0" w:line="240" w:lineRule="auto"/>
        <w:jc w:val="both"/>
        <w:rPr>
          <w:i/>
        </w:rPr>
      </w:pPr>
    </w:p>
    <w:p w:rsidR="00094DF3" w:rsidRPr="008F7E72" w:rsidRDefault="00094DF3" w:rsidP="00094DF3">
      <w:pPr>
        <w:pStyle w:val="ListParagraph"/>
        <w:numPr>
          <w:ilvl w:val="0"/>
          <w:numId w:val="25"/>
        </w:numPr>
        <w:spacing w:after="0" w:line="240" w:lineRule="auto"/>
        <w:jc w:val="both"/>
        <w:rPr>
          <w:b/>
          <w:i/>
        </w:rPr>
      </w:pPr>
      <w:r w:rsidRPr="008F7E72">
        <w:rPr>
          <w:b/>
          <w:i/>
        </w:rPr>
        <w:t>Μεταβίβαση εμπορευμάτων Ε.Φ.Κ εντός φορολογικής αποθήκης. (Αρμόδια Δ/νση 17η)</w:t>
      </w:r>
    </w:p>
    <w:p w:rsidR="00094DF3" w:rsidRPr="008F7E72" w:rsidRDefault="00094DF3" w:rsidP="00094DF3">
      <w:pPr>
        <w:ind w:left="360"/>
        <w:rPr>
          <w:i/>
        </w:rPr>
      </w:pPr>
    </w:p>
    <w:p w:rsidR="00094DF3" w:rsidRPr="008F7E72" w:rsidRDefault="00094DF3" w:rsidP="00094DF3">
      <w:pPr>
        <w:spacing w:after="0" w:line="240" w:lineRule="auto"/>
        <w:ind w:left="360"/>
        <w:jc w:val="both"/>
        <w:rPr>
          <w:i/>
        </w:rPr>
      </w:pPr>
      <w:r w:rsidRPr="008F7E72">
        <w:rPr>
          <w:i/>
        </w:rPr>
        <w:t xml:space="preserve">Ενώ στα τελωνειακά ανασταλτικά καθεστώτα της τελωνειακής αποταμίευσης της προσωρινής εναπόθεσης και της ελεύθερης ζώνης παρέχεται η δυνατότητα μεταβίβασης εμπορευμάτων πριν τον εκτελωνισμό τους χωρίς κανένα όρο. Για τη μεταβίβαση εντός της φορολογικής αποθήκης πριν τον εκτελωνισμό υποκειμένων σε ΕΦΚ εμπορευμάτων, τίθεται περιορισμός ως προς την ιδιότητα του αγοραστή των εμπορευμάτων. Συγκεκριμένα με τις αριθ. Δ17Ε 5004905/8-2-2013 και 5036/2895/10-9-2009  εγκυκλίους καθορίζεται ότι για να επιτραπεί η μεταβίβαση χωρίς ΦΠΑ θα πρέπει ο αγοραστής να έχει την ιδιότητα του εγκεκριμένου αποθηκευτή. Ο περιορισμός αυτός είναι ακατανόητος και δεν στηρίζεται σε καμία διάταξη. </w:t>
      </w:r>
    </w:p>
    <w:p w:rsidR="00094DF3" w:rsidRPr="008F7E72" w:rsidRDefault="00094DF3" w:rsidP="00094DF3">
      <w:pPr>
        <w:spacing w:after="0" w:line="240" w:lineRule="auto"/>
        <w:ind w:left="360"/>
        <w:jc w:val="both"/>
        <w:rPr>
          <w:i/>
        </w:rPr>
      </w:pPr>
      <w:r w:rsidRPr="008F7E72">
        <w:rPr>
          <w:i/>
        </w:rPr>
        <w:t xml:space="preserve">Το Α΄τελωνείο Πειραιά </w:t>
      </w:r>
      <w:r w:rsidRPr="008F7E72">
        <w:rPr>
          <w:b/>
          <w:i/>
        </w:rPr>
        <w:t xml:space="preserve">δεν εφαρμόζει ούτε αυτήν τη διαταγή </w:t>
      </w:r>
      <w:r w:rsidRPr="008F7E72">
        <w:rPr>
          <w:i/>
        </w:rPr>
        <w:t xml:space="preserve">και απαιτεί, όταν γίνεται μεταβίβαση στη φορολογική αποθήκη, να μεταφέρονται τα εμπορεύματα με </w:t>
      </w:r>
      <w:r w:rsidRPr="008F7E72">
        <w:rPr>
          <w:i/>
          <w:lang w:val="en-US"/>
        </w:rPr>
        <w:t>e</w:t>
      </w:r>
      <w:r w:rsidRPr="008F7E72">
        <w:rPr>
          <w:i/>
        </w:rPr>
        <w:t>-ΔΕ από την αποθήκη του πωλητή εγκεκριμένου αποθηκευτή στην αποθήη του αγοραστή εγκεκριμένου αποθηκευτή. Για το θέμα αυτό το Α΄τελωνείο Πειραιά έστειλε την αριθ. 18471/18-6-2013 αναφορά προς τη Δ/νση ΕΦΚ, αλλά μέχρι σήμερα δεν πήρε σχετική απάντηση.</w:t>
      </w:r>
    </w:p>
    <w:p w:rsidR="00094DF3" w:rsidRPr="008F7E72" w:rsidRDefault="00094DF3" w:rsidP="00094DF3">
      <w:pPr>
        <w:spacing w:after="0" w:line="240" w:lineRule="auto"/>
        <w:ind w:left="360"/>
        <w:jc w:val="both"/>
        <w:rPr>
          <w:i/>
        </w:rPr>
      </w:pPr>
      <w:r w:rsidRPr="008F7E72">
        <w:rPr>
          <w:i/>
        </w:rPr>
        <w:t xml:space="preserve">Η κατάσταση αυτή δημιουργεί προβλήματα στην ομαλή άσκηση της εμπορικής δραστηριότητας με αποτέλεσμα οι εν δυνάμει αγοραστές να απευθύνονται είτε σε αντίστοιχα μη κοινοτικά εμπορεύματα που βρίσκονται σε αποθήκες τελωνειακής αποταμίευσης, είτε σε εμπορικές επιχειρήσεις άλλων κρατών μελών.   </w:t>
      </w:r>
    </w:p>
    <w:p w:rsidR="00094DF3" w:rsidRPr="008F7E72" w:rsidRDefault="00094DF3" w:rsidP="00094DF3">
      <w:pPr>
        <w:spacing w:after="0" w:line="240" w:lineRule="auto"/>
        <w:ind w:left="360"/>
        <w:jc w:val="both"/>
        <w:rPr>
          <w:i/>
        </w:rPr>
      </w:pPr>
      <w:r w:rsidRPr="008F7E72">
        <w:rPr>
          <w:i/>
        </w:rPr>
        <w:t xml:space="preserve">Κατά τη γνώμη μας οι ως άνω εγκύκλιοι είναι νομικά αβάσιμες και δημιουργούν προβλήματα στην ομαλή διεξαγωγή του εμπορίου και ως εκ τούτου πρέπει να καταργηθούν, ή τουλάχιστον να γίνει απάντηση στην ως άνω αναφορά του Α΄τελωνείου Πειραιά, δίνοντας εντολή να εφαρμόζει τις ως άνω εγκυκλίους.  </w:t>
      </w:r>
    </w:p>
    <w:p w:rsidR="00094DF3" w:rsidRPr="008F7E72" w:rsidRDefault="00094DF3" w:rsidP="00094DF3">
      <w:pPr>
        <w:pStyle w:val="ListParagraph"/>
        <w:rPr>
          <w:i/>
        </w:rPr>
      </w:pPr>
    </w:p>
    <w:p w:rsidR="00094DF3" w:rsidRPr="008F7E72" w:rsidRDefault="00094DF3" w:rsidP="00094DF3">
      <w:pPr>
        <w:pStyle w:val="ListParagraph"/>
        <w:numPr>
          <w:ilvl w:val="0"/>
          <w:numId w:val="25"/>
        </w:numPr>
        <w:spacing w:after="0" w:line="240" w:lineRule="auto"/>
        <w:jc w:val="both"/>
        <w:rPr>
          <w:b/>
          <w:i/>
        </w:rPr>
      </w:pPr>
      <w:r w:rsidRPr="008F7E72">
        <w:rPr>
          <w:b/>
          <w:i/>
        </w:rPr>
        <w:t>Αναμόρφωση Νομοθεσίας για εφοδιασμούς πλοίων άρθρου 10 του νόμου 438/76.  Συμμετοχή σε τροποποίηση της αριθ. Τ. 1940/03 ΑΥΟ (σύσταση ομάδας εργασίας) (αρμόδια Δ/νση 18</w:t>
      </w:r>
      <w:r w:rsidRPr="008F7E72">
        <w:rPr>
          <w:b/>
          <w:i/>
          <w:vertAlign w:val="superscript"/>
        </w:rPr>
        <w:t>η</w:t>
      </w:r>
      <w:r w:rsidRPr="008F7E72">
        <w:rPr>
          <w:b/>
          <w:i/>
        </w:rPr>
        <w:t>)</w:t>
      </w:r>
    </w:p>
    <w:p w:rsidR="00094DF3" w:rsidRPr="008F7E72" w:rsidRDefault="00094DF3" w:rsidP="00094DF3">
      <w:pPr>
        <w:pStyle w:val="ListParagraph"/>
        <w:rPr>
          <w:i/>
        </w:rPr>
      </w:pPr>
    </w:p>
    <w:p w:rsidR="00094DF3" w:rsidRPr="008F7E72" w:rsidRDefault="00094DF3" w:rsidP="00094DF3">
      <w:pPr>
        <w:pStyle w:val="NoSpacing"/>
        <w:ind w:left="360"/>
        <w:rPr>
          <w:i/>
          <w:lang w:val="el-GR"/>
        </w:rPr>
      </w:pPr>
      <w:r w:rsidRPr="008F7E72">
        <w:rPr>
          <w:i/>
          <w:lang w:val="el-GR"/>
        </w:rPr>
        <w:t xml:space="preserve">Ο ΠΣΕΠ έστειλε τον Οκτώβριο του 2013 επιστολή συνοδευμόμενη με υπόμνημα στο οποίο αναλύεται η ισχύουσα νομοθεσία για την απαλλαγή των εφοδίων που παραδίδονται ατελώς σε πλοία γραμμών εξωτερικού. </w:t>
      </w:r>
    </w:p>
    <w:p w:rsidR="00094DF3" w:rsidRPr="008F7E72" w:rsidRDefault="00094DF3" w:rsidP="00094DF3">
      <w:pPr>
        <w:pStyle w:val="NoSpacing"/>
        <w:ind w:left="360"/>
        <w:rPr>
          <w:i/>
          <w:lang w:val="el-GR"/>
        </w:rPr>
      </w:pPr>
      <w:r w:rsidRPr="008F7E72">
        <w:rPr>
          <w:i/>
          <w:lang w:val="el-GR"/>
        </w:rPr>
        <w:lastRenderedPageBreak/>
        <w:t xml:space="preserve">Στο υπόμνημα επισυνάπτεται πρόταση για αντικατάσταση του ισχύοντος άρθρου 10 του Ν. 438/76 με τεκμηριωμένη αιτιολογική έκθεση. </w:t>
      </w:r>
    </w:p>
    <w:p w:rsidR="00094DF3" w:rsidRPr="008F7E72" w:rsidRDefault="00094DF3" w:rsidP="00094DF3">
      <w:pPr>
        <w:pStyle w:val="NoSpacing"/>
        <w:ind w:left="360"/>
        <w:rPr>
          <w:i/>
          <w:lang w:val="el-GR"/>
        </w:rPr>
      </w:pPr>
      <w:r w:rsidRPr="008F7E72">
        <w:rPr>
          <w:i/>
          <w:lang w:val="el-GR"/>
        </w:rPr>
        <w:t>Στην επιστολή αυτή δεν λάβαμε απάντηση ούτε ενημερωθήκαμε για κάποια σχετική ενέργεια της τελωνειακής διοίκησης.</w:t>
      </w:r>
    </w:p>
    <w:p w:rsidR="00094DF3" w:rsidRPr="008F7E72" w:rsidRDefault="00094DF3" w:rsidP="00094DF3">
      <w:pPr>
        <w:pStyle w:val="NoSpacing"/>
        <w:ind w:left="360"/>
        <w:rPr>
          <w:i/>
          <w:lang w:val="el-GR"/>
        </w:rPr>
      </w:pPr>
      <w:r w:rsidRPr="008F7E72">
        <w:rPr>
          <w:i/>
          <w:lang w:val="el-GR"/>
        </w:rPr>
        <w:t xml:space="preserve">Ο στόχος είναι να θεσπισθεί απαλλαγή από δασμούς και ΕΦΚ των εφοδίων που παραδίδονται σε πολεμικά, τουριστικά και αλιευτικά πλοία τα οποία αποπλέουν για το εξωτερικό. </w:t>
      </w:r>
      <w:r w:rsidRPr="008F7E72">
        <w:rPr>
          <w:b/>
          <w:i/>
          <w:lang w:val="el-GR"/>
        </w:rPr>
        <w:t>Σήμερα χάνονται εκατοντάδες χιλιάδες κύκλου εργασιών,</w:t>
      </w:r>
      <w:r w:rsidRPr="008F7E72">
        <w:rPr>
          <w:i/>
          <w:lang w:val="el-GR"/>
        </w:rPr>
        <w:t xml:space="preserve"> καθόσον τα πλοία αυτά με τις φορολογικές επιβαρύνσεις των εφοδίων, προμηθεύονται τα σχετικά εφόδια από λιμάνια άλλων χωρών της Μεσογείου ή της Ευρώπης.</w:t>
      </w:r>
    </w:p>
    <w:p w:rsidR="00094DF3" w:rsidRPr="008F7E72" w:rsidRDefault="00094DF3" w:rsidP="00094DF3">
      <w:pPr>
        <w:pStyle w:val="NoSpacing"/>
        <w:ind w:left="360"/>
        <w:rPr>
          <w:i/>
          <w:lang w:val="el-GR"/>
        </w:rPr>
      </w:pPr>
      <w:r w:rsidRPr="008F7E72">
        <w:rPr>
          <w:i/>
          <w:lang w:val="el-GR"/>
        </w:rPr>
        <w:t>Πέραν αυτών, θεωρούμε ότι με τις τροποποιήσεις που έγιναν με το Ν. 3182/03 και  3583/07  έγινε μία διαστρέβλωση του άρθρου 10 καθόσον μπλέχτηκαν οι διατάξεις του τίτλου ΙΙ των προκαταρκτικών διατάξεων του Δασμολογίου οι οποίες καθορίζουν την αναστολή των δασμών για τα εμπορεύματα που προορίζονται για κατασκευή, μεταποίηση, επισκευή και συντήρηση πλοίων και παραδίδονται στα πλοία εσωτερικού με το καθεστώς του ειδικού προρισμού.</w:t>
      </w:r>
    </w:p>
    <w:p w:rsidR="00094DF3" w:rsidRPr="008F7E72" w:rsidRDefault="00094DF3" w:rsidP="00094DF3">
      <w:pPr>
        <w:pStyle w:val="NoSpacing"/>
        <w:ind w:left="360"/>
        <w:rPr>
          <w:i/>
          <w:lang w:val="el-GR"/>
        </w:rPr>
      </w:pPr>
      <w:r w:rsidRPr="008F7E72">
        <w:rPr>
          <w:i/>
          <w:lang w:val="el-GR"/>
        </w:rPr>
        <w:t>Ζητούμε για το θέμα αυτό να ενημερωθούμε για τις ενέργειες που έγιναν από την 18</w:t>
      </w:r>
      <w:r w:rsidRPr="008F7E72">
        <w:rPr>
          <w:i/>
          <w:vertAlign w:val="superscript"/>
          <w:lang w:val="el-GR"/>
        </w:rPr>
        <w:t>η</w:t>
      </w:r>
      <w:r w:rsidRPr="008F7E72">
        <w:rPr>
          <w:i/>
          <w:lang w:val="el-GR"/>
        </w:rPr>
        <w:t xml:space="preserve"> Δ/νση μετά την υποβολή της πρότασής μας. </w:t>
      </w:r>
    </w:p>
    <w:p w:rsidR="00094DF3" w:rsidRPr="008F7E72" w:rsidRDefault="00094DF3" w:rsidP="00094DF3">
      <w:pPr>
        <w:pStyle w:val="NoSpacing"/>
        <w:ind w:left="360"/>
        <w:rPr>
          <w:i/>
          <w:lang w:val="el-GR"/>
        </w:rPr>
      </w:pPr>
      <w:r w:rsidRPr="008F7E72">
        <w:rPr>
          <w:i/>
          <w:lang w:val="el-GR"/>
        </w:rPr>
        <w:t>Ζητούμε επίσης να συσταθεί μία ομάδα εργασίας στην οποία θα συμμετέχουν εκπρόσωποι των εφοδιαστών πλοίων, προκειμένου να μελετηθεί η σκοπιμότητα και δυνατότητα αναμόρφωσης της νομοθεσίας που ρυθμίζει τις απαλλαγές των εφοδίων πλοίων και τις διαδικαστικές ρυθμίσεις.</w:t>
      </w:r>
    </w:p>
    <w:p w:rsidR="00094DF3" w:rsidRPr="008F7E72" w:rsidRDefault="00094DF3" w:rsidP="00094DF3">
      <w:pPr>
        <w:pStyle w:val="ListParagraph"/>
        <w:rPr>
          <w:i/>
        </w:rPr>
      </w:pPr>
    </w:p>
    <w:p w:rsidR="00094DF3" w:rsidRPr="008F7E72" w:rsidRDefault="00094DF3" w:rsidP="00094DF3">
      <w:pPr>
        <w:pStyle w:val="ListParagraph"/>
        <w:numPr>
          <w:ilvl w:val="0"/>
          <w:numId w:val="25"/>
        </w:numPr>
        <w:spacing w:after="0" w:line="240" w:lineRule="auto"/>
        <w:jc w:val="both"/>
        <w:rPr>
          <w:b/>
          <w:i/>
        </w:rPr>
      </w:pPr>
      <w:r w:rsidRPr="008F7E72">
        <w:rPr>
          <w:b/>
          <w:i/>
        </w:rPr>
        <w:t>Διαδικασία προενημέρωσης του Α΄τελωνείου Πειραιά κατά τον εφοδιασμό πλοίων με υποκείμενα σε ΕΦΚ προϊόντα. (αρμόδιο Α΄τελωνείο Πειραιά, Δ/νση 18</w:t>
      </w:r>
      <w:r w:rsidRPr="008F7E72">
        <w:rPr>
          <w:b/>
          <w:i/>
          <w:vertAlign w:val="superscript"/>
        </w:rPr>
        <w:t>η</w:t>
      </w:r>
      <w:r w:rsidRPr="008F7E72">
        <w:rPr>
          <w:b/>
          <w:i/>
        </w:rPr>
        <w:t>)</w:t>
      </w:r>
    </w:p>
    <w:p w:rsidR="00094DF3" w:rsidRPr="008F7E72" w:rsidRDefault="00094DF3" w:rsidP="00094DF3">
      <w:pPr>
        <w:rPr>
          <w:i/>
        </w:rPr>
      </w:pPr>
    </w:p>
    <w:p w:rsidR="00094DF3" w:rsidRPr="008F7E72" w:rsidRDefault="00094DF3" w:rsidP="00094DF3">
      <w:pPr>
        <w:pStyle w:val="NoSpacing"/>
        <w:ind w:left="360"/>
        <w:rPr>
          <w:i/>
          <w:lang w:val="el-GR"/>
        </w:rPr>
      </w:pPr>
      <w:r w:rsidRPr="008F7E72">
        <w:rPr>
          <w:i/>
          <w:lang w:val="el-GR"/>
        </w:rPr>
        <w:t xml:space="preserve">Το Α΄τελωνείο Πειραιά απαιτεί για τους εφοδιαστές πλοίων με υποκείμενα σε ΕΦΚ εμπορεύματα να ενημερώνουν την αρμόδια υπηρεσία (ΤΕΠ)  προσκομίζοντας ένα έντυπο προενημέρωσης, στο οποίο αναφέρονται τα στοιχεία του πλοίου, το πλήρωμα αυτού, επόμενο λιμάνι κλπ, στοιχεία που δεν είναι γνωστά στον εφοδιαστή. Μετά την προσκόμιση του εντύπου προενημέρωσης αναμένεται η έγκρισή του προκειμένου να πραγματοποιηθεί ο εφοδιασμός του πλοίου. Εν συνεχεία μετά την ολοκλήρωση του εφοδιασμού πρέπει να προσκομίζονται φωτοαντίγραφα των αντίτυπων Β του Δελτίου Παράδοσης Εφοδίων. </w:t>
      </w:r>
    </w:p>
    <w:p w:rsidR="00094DF3" w:rsidRPr="008F7E72" w:rsidRDefault="00094DF3" w:rsidP="00094DF3">
      <w:pPr>
        <w:pStyle w:val="NoSpacing"/>
        <w:ind w:left="360"/>
        <w:rPr>
          <w:i/>
          <w:lang w:val="el-GR"/>
        </w:rPr>
      </w:pPr>
      <w:r w:rsidRPr="008F7E72">
        <w:rPr>
          <w:i/>
          <w:lang w:val="el-GR"/>
        </w:rPr>
        <w:t>Κατ’ αρχήν πρέπει να παρατηρήσουμε ότι το Α΄τελωνείο Πειραιά θα έπρεπε να απευθύνεται για τα στοιχεία του πλοίου στον πράκτορα του πλοίου και όχι σε εφοδιαστικές επιχειρήσεις οι οποίες δεν μπορούν να διαθέτουν τέτοια στοιχεία.</w:t>
      </w:r>
    </w:p>
    <w:p w:rsidR="00094DF3" w:rsidRPr="008F7E72" w:rsidRDefault="00094DF3" w:rsidP="00094DF3">
      <w:pPr>
        <w:pStyle w:val="NoSpacing"/>
        <w:ind w:left="360"/>
        <w:rPr>
          <w:i/>
          <w:lang w:val="el-GR"/>
        </w:rPr>
      </w:pPr>
      <w:r w:rsidRPr="008F7E72">
        <w:rPr>
          <w:i/>
          <w:lang w:val="el-GR"/>
        </w:rPr>
        <w:t>Δεύτερον πρέπει να σημειωθεί ότι το Α΄τελωνείο Πειραιά είναι το μοναδικό στην Ελλάδα που εφαρμόζει μία τέτοια διαδικασία, ακομη και για εφοδιασμό πλοίων που βρίσκονται σε λιμάνια εκτός της αρμοδιότητάς του (Πάτρα, Πύλος κλπ).</w:t>
      </w:r>
    </w:p>
    <w:p w:rsidR="00094DF3" w:rsidRPr="008F7E72" w:rsidRDefault="00094DF3" w:rsidP="00094DF3">
      <w:pPr>
        <w:pStyle w:val="NoSpacing"/>
        <w:ind w:left="360"/>
        <w:rPr>
          <w:i/>
          <w:lang w:val="el-GR"/>
        </w:rPr>
      </w:pPr>
      <w:r w:rsidRPr="008F7E72">
        <w:rPr>
          <w:i/>
          <w:lang w:val="el-GR"/>
        </w:rPr>
        <w:t>Με την εφαρμογή αυτής της διαδικασίας δημιουργούνται μεγάλες καθυστερήσεις και αιτίες παράνομης συναλλαγής, χωρίς κανένα ουσιαστικό όφελος για το δημόσιο.</w:t>
      </w:r>
    </w:p>
    <w:p w:rsidR="00094DF3" w:rsidRPr="008F7E72" w:rsidRDefault="00094DF3" w:rsidP="00094DF3">
      <w:pPr>
        <w:pStyle w:val="NoSpacing"/>
        <w:ind w:left="360"/>
        <w:rPr>
          <w:i/>
        </w:rPr>
      </w:pPr>
      <w:r w:rsidRPr="008F7E72">
        <w:rPr>
          <w:i/>
          <w:lang w:val="el-GR"/>
        </w:rPr>
        <w:t xml:space="preserve">Προτείνουμε να δοθεί εντολή στο Α΄ τελωνείο </w:t>
      </w:r>
      <w:r w:rsidRPr="008F7E72">
        <w:rPr>
          <w:b/>
          <w:i/>
          <w:lang w:val="el-GR"/>
        </w:rPr>
        <w:t>κατάργησης αυτής της διαδικασίας.</w:t>
      </w:r>
      <w:r w:rsidRPr="008F7E72">
        <w:rPr>
          <w:i/>
          <w:lang w:val="el-GR"/>
        </w:rPr>
        <w:t xml:space="preserve"> Εάν το τελωνείο επιθυμεί να κάνει έλεγχο έχει όλη τη δυνατότητα να κάνει πραγματικό έλεγχο ύπαρξης των παραδοθέντων εφοδίων στο πλοίο, καθόσον ενημερώνεται με το Δελτίο Παράδοσης Εφοδίων (αντίτυπα Α και Γ) που αποστέλλεται από το τελωνείο φόρτωσης, εφαρμόζοντας τα οριζόμενα στο άρθρο 1 παρ. 4 της αριθ. </w:t>
      </w:r>
      <w:proofErr w:type="gramStart"/>
      <w:r w:rsidRPr="008F7E72">
        <w:rPr>
          <w:i/>
        </w:rPr>
        <w:t>Τ. 1940/03</w:t>
      </w:r>
      <w:proofErr w:type="gramEnd"/>
      <w:r w:rsidRPr="008F7E72">
        <w:rPr>
          <w:i/>
        </w:rPr>
        <w:t xml:space="preserve"> ΑΥΟ.</w:t>
      </w:r>
    </w:p>
    <w:p w:rsidR="00094DF3" w:rsidRPr="008F7E72" w:rsidRDefault="00094DF3" w:rsidP="00094DF3">
      <w:pPr>
        <w:rPr>
          <w:b/>
          <w:i/>
        </w:rPr>
      </w:pPr>
    </w:p>
    <w:p w:rsidR="00094DF3" w:rsidRPr="008F7E72" w:rsidRDefault="00094DF3" w:rsidP="00094DF3">
      <w:pPr>
        <w:pStyle w:val="ListParagraph"/>
        <w:numPr>
          <w:ilvl w:val="0"/>
          <w:numId w:val="25"/>
        </w:numPr>
        <w:contextualSpacing/>
        <w:rPr>
          <w:b/>
          <w:i/>
        </w:rPr>
      </w:pPr>
      <w:r w:rsidRPr="008F7E72">
        <w:rPr>
          <w:b/>
          <w:i/>
        </w:rPr>
        <w:t>Μη εφαρμογή από το Α΄τελωνείο της ηλεκτρονικής διαδικασίας εξαγωγής. (αρμόδιο Α΄τελωνείο Πειραιά, Δ/νση 19</w:t>
      </w:r>
      <w:r w:rsidRPr="008F7E72">
        <w:rPr>
          <w:b/>
          <w:i/>
          <w:vertAlign w:val="superscript"/>
        </w:rPr>
        <w:t>η</w:t>
      </w:r>
      <w:r w:rsidRPr="008F7E72">
        <w:rPr>
          <w:b/>
          <w:i/>
        </w:rPr>
        <w:t>)</w:t>
      </w:r>
    </w:p>
    <w:p w:rsidR="00094DF3" w:rsidRPr="008F7E72" w:rsidRDefault="00094DF3" w:rsidP="00094DF3">
      <w:pPr>
        <w:pStyle w:val="ListParagraph"/>
        <w:rPr>
          <w:b/>
          <w:i/>
        </w:rPr>
      </w:pPr>
    </w:p>
    <w:p w:rsidR="00094DF3" w:rsidRPr="008F7E72" w:rsidRDefault="00094DF3" w:rsidP="00094DF3">
      <w:pPr>
        <w:pStyle w:val="NoSpacing"/>
        <w:ind w:left="360"/>
        <w:rPr>
          <w:i/>
          <w:lang w:val="el-GR"/>
        </w:rPr>
      </w:pPr>
      <w:r w:rsidRPr="008F7E72">
        <w:rPr>
          <w:i/>
          <w:lang w:val="el-GR"/>
        </w:rPr>
        <w:t xml:space="preserve">Σύμφωνα με τις αριθ. Δ19Α 5012006/2012 και Δ19Α 5013811/3-6-2014 εγκυκλίους, η διαδικασία εξαγωγής θα πρέπει να γίνεται ηλεκτρονικά χωρίς φυσική παρουσία του διασαφιστή ή του τελωνειακού αντιπροσώπου. Η μόνη περίπτωση που επιτρέπεται να υπάρχει φυσική παρουσία του διασαφιστή ή του τελωνειακού αντιπροσώπου στο τελωνείο </w:t>
      </w:r>
      <w:r w:rsidRPr="008F7E72">
        <w:rPr>
          <w:i/>
          <w:lang w:val="el-GR"/>
        </w:rPr>
        <w:lastRenderedPageBreak/>
        <w:t>είναι όταν καθορίζεται από το σύστημα ανάλυσης κινδύνου φυσικός έλεγχος των εμπορευμάτων με την αποστολή του μηνύματος ΙΕ560 (1).</w:t>
      </w:r>
    </w:p>
    <w:p w:rsidR="00094DF3" w:rsidRPr="008F7E72" w:rsidRDefault="00094DF3" w:rsidP="00094DF3">
      <w:pPr>
        <w:pStyle w:val="NoSpacing"/>
        <w:ind w:left="360"/>
        <w:rPr>
          <w:i/>
          <w:lang w:val="el-GR"/>
        </w:rPr>
      </w:pPr>
      <w:r w:rsidRPr="008F7E72">
        <w:rPr>
          <w:i/>
          <w:lang w:val="el-GR"/>
        </w:rPr>
        <w:t>Παρόλα αυτά, το Α΄τελωνείο Πειραιά δεν αποστέλλει το μήνυμα ΙΕ560 είτε για έλεγχο εγγράφων είτε για φυσικό έλεγχο και απαιτεί σε κάθε διασάφηση εξαγωγής να εκτυπώνεται η διασάφηση και να προσκομίζεται στο τελωνείο μέχρι την έκδοση της άδειας παράδοσης (Συνοδευτικό Έγγραφο Εξαγωγής). Στην πράξη, τα μόνα μηνύματα που εφαρμόζονται είναι το μήνυμα ΙΕ515 (υποβολή διασάφησης)  και ΙΕ528 (αποδοχή διασάφησης). Για όλες τις άλλες ενέργειες το τελωνείο ασκεί την ελεγκτική του δραστηριότητα με πράξεις επί της εκτυπωμένης διασάφησης  που προσκομίζεται από τον διασαφιστή / τελωνειακό αντιπρόσωπο.</w:t>
      </w:r>
    </w:p>
    <w:p w:rsidR="00094DF3" w:rsidRPr="008F7E72" w:rsidRDefault="00094DF3" w:rsidP="00094DF3">
      <w:pPr>
        <w:pStyle w:val="NoSpacing"/>
        <w:ind w:left="360"/>
        <w:rPr>
          <w:i/>
          <w:lang w:val="el-GR"/>
        </w:rPr>
      </w:pPr>
      <w:r w:rsidRPr="008F7E72">
        <w:rPr>
          <w:i/>
          <w:lang w:val="el-GR"/>
        </w:rPr>
        <w:t>Η πρακτική αυτή, εκτός του ότι έρχεται σε πλήρη αντίθεση με τις ισχύουσες διατάξεις και τις δοθείσες οδηγίες, αποτελεί περιφρόνηση στην Ελληνική Πολιτεία η οποία δαπάνησε σημαντικές οικονομικούς και ανθρώπινους πόρους για την εφαρμογή του ηλεκτρονικού συστήματος.</w:t>
      </w:r>
    </w:p>
    <w:p w:rsidR="00094DF3" w:rsidRPr="008F7E72" w:rsidRDefault="00094DF3" w:rsidP="00094DF3">
      <w:pPr>
        <w:pStyle w:val="NoSpacing"/>
        <w:ind w:left="360"/>
        <w:rPr>
          <w:i/>
          <w:lang w:val="el-GR"/>
        </w:rPr>
      </w:pPr>
      <w:r w:rsidRPr="008F7E72">
        <w:rPr>
          <w:i/>
          <w:lang w:val="el-GR"/>
        </w:rPr>
        <w:t>Ζητούμε να δοθούν οδηγίες στο Α΄τελωνείο να εφαρμόσει τις ισχύουσες διαταγές και να αποστέλλει τα προβλεπόμενα ηλεκτρονικά μηνύματα, παύοντας τις χειρόγραφες διαδικασίες με τις οποίες σπαταλλώνται ανθρώπινοι πόροι, οι οποίοι μπορούν να διατεθούν σε πιο αποτελεσματικές τελωνειακές εργασίες.</w:t>
      </w:r>
    </w:p>
    <w:p w:rsidR="00094DF3" w:rsidRPr="008F7E72" w:rsidRDefault="00094DF3" w:rsidP="00094DF3">
      <w:pPr>
        <w:rPr>
          <w:i/>
        </w:rPr>
      </w:pPr>
    </w:p>
    <w:p w:rsidR="00094DF3" w:rsidRPr="008F7E72" w:rsidRDefault="00094DF3" w:rsidP="00094DF3">
      <w:pPr>
        <w:pStyle w:val="ListParagraph"/>
        <w:numPr>
          <w:ilvl w:val="0"/>
          <w:numId w:val="25"/>
        </w:numPr>
        <w:contextualSpacing/>
        <w:rPr>
          <w:b/>
          <w:i/>
        </w:rPr>
      </w:pPr>
      <w:r w:rsidRPr="008F7E72">
        <w:rPr>
          <w:b/>
          <w:i/>
        </w:rPr>
        <w:t xml:space="preserve">Μη ενημέρωση του αρχείου του </w:t>
      </w:r>
      <w:proofErr w:type="spellStart"/>
      <w:r w:rsidRPr="008F7E72">
        <w:rPr>
          <w:b/>
          <w:i/>
          <w:lang w:val="en-US"/>
        </w:rPr>
        <w:t>ICISnet</w:t>
      </w:r>
      <w:proofErr w:type="spellEnd"/>
      <w:r w:rsidRPr="008F7E72">
        <w:rPr>
          <w:b/>
          <w:i/>
        </w:rPr>
        <w:t xml:space="preserve"> με τους εθνικούς κωδικούς των υποκειμένων σε ΕΦΚ προϊόντων (10ψήφιοι κωδικοί) (Αρμόδια 17</w:t>
      </w:r>
      <w:r w:rsidRPr="008F7E72">
        <w:rPr>
          <w:b/>
          <w:i/>
          <w:vertAlign w:val="superscript"/>
        </w:rPr>
        <w:t>η</w:t>
      </w:r>
      <w:r w:rsidRPr="008F7E72">
        <w:rPr>
          <w:b/>
          <w:i/>
        </w:rPr>
        <w:t xml:space="preserve"> Δ/νση, Δ/νση 30)</w:t>
      </w:r>
    </w:p>
    <w:p w:rsidR="00094DF3" w:rsidRPr="008F7E72" w:rsidRDefault="00094DF3" w:rsidP="00094DF3">
      <w:pPr>
        <w:pStyle w:val="ListParagraph"/>
        <w:rPr>
          <w:b/>
          <w:i/>
        </w:rPr>
      </w:pPr>
    </w:p>
    <w:p w:rsidR="00094DF3" w:rsidRPr="008F7E72" w:rsidRDefault="00094DF3" w:rsidP="00094DF3">
      <w:pPr>
        <w:pStyle w:val="NoSpacing"/>
        <w:ind w:left="360"/>
        <w:rPr>
          <w:i/>
          <w:lang w:val="el-GR"/>
        </w:rPr>
      </w:pPr>
      <w:r w:rsidRPr="008F7E72">
        <w:rPr>
          <w:i/>
          <w:lang w:val="el-GR"/>
        </w:rPr>
        <w:t xml:space="preserve">Στον ιστότοπο του </w:t>
      </w:r>
      <w:proofErr w:type="spellStart"/>
      <w:r w:rsidRPr="008F7E72">
        <w:rPr>
          <w:i/>
          <w:lang w:val="en-US"/>
        </w:rPr>
        <w:t>ICISnet</w:t>
      </w:r>
      <w:proofErr w:type="spellEnd"/>
      <w:r w:rsidRPr="008F7E72">
        <w:rPr>
          <w:i/>
          <w:lang w:val="el-GR"/>
        </w:rPr>
        <w:t xml:space="preserve"> έχουν αναρτηθεί  πληροφορίες τελωνειακές, δασμολογικές κλπ.</w:t>
      </w:r>
    </w:p>
    <w:p w:rsidR="00094DF3" w:rsidRPr="008F7E72" w:rsidRDefault="00094DF3" w:rsidP="00094DF3">
      <w:pPr>
        <w:pStyle w:val="NoSpacing"/>
        <w:ind w:left="360"/>
        <w:rPr>
          <w:i/>
          <w:lang w:val="el-GR"/>
        </w:rPr>
      </w:pPr>
      <w:r w:rsidRPr="008F7E72">
        <w:rPr>
          <w:i/>
          <w:lang w:val="el-GR"/>
        </w:rPr>
        <w:t>Μεταξύ των πληροφοριών αυτών υπάρχει και ένας πίνακας με τους εθνικούς κωδικούς (10ψήφιους) των υποκειμένων σε ΕΦΚ προϊόντων.</w:t>
      </w:r>
    </w:p>
    <w:p w:rsidR="00094DF3" w:rsidRPr="008F7E72" w:rsidRDefault="00094DF3" w:rsidP="00094DF3">
      <w:pPr>
        <w:pStyle w:val="NoSpacing"/>
        <w:ind w:left="360"/>
        <w:rPr>
          <w:i/>
          <w:lang w:val="el-GR"/>
        </w:rPr>
      </w:pPr>
      <w:r w:rsidRPr="008F7E72">
        <w:rPr>
          <w:i/>
          <w:lang w:val="el-GR"/>
        </w:rPr>
        <w:t xml:space="preserve">Οι πληροφορίες αυτές  είναι απαραίτητες για τη συμπλήρωση της ΔΕΦΚ, ή της διασάφησης εξαγωγής, καθόσον θα πρέπει σε κάθε περίπτωση να αναγράφεται ο εθνικός κωδικός που αντίστοιχεί σε κάθε προϊόν. </w:t>
      </w:r>
    </w:p>
    <w:p w:rsidR="00094DF3" w:rsidRPr="008F7E72" w:rsidRDefault="00094DF3" w:rsidP="00094DF3">
      <w:pPr>
        <w:pStyle w:val="NoSpacing"/>
        <w:ind w:left="360"/>
        <w:rPr>
          <w:i/>
          <w:lang w:val="el-GR"/>
        </w:rPr>
      </w:pPr>
      <w:r w:rsidRPr="008F7E72">
        <w:rPr>
          <w:i/>
          <w:lang w:val="el-GR"/>
        </w:rPr>
        <w:t>Ο πίνακας αυτός δεν επικαιροποιείται τακτικά με τους νέους κωδικούς, με αποτέλεσμα να δημιουργούνται δυσκολίες στη συμπλήρωση των σχετικών παραστατικών και να καταφεύγει ο εντεταλμένος υπάλληλος στο τελωνείο ζητώντας να ενημερωθεί για τον εθνικό κωδικό που ισχυει για ένα συγκεκριμένο αλκοολούχο ποτό.</w:t>
      </w:r>
    </w:p>
    <w:p w:rsidR="00094DF3" w:rsidRPr="00094DF3" w:rsidRDefault="00094DF3" w:rsidP="00094DF3">
      <w:pPr>
        <w:pStyle w:val="NoSpacing"/>
        <w:ind w:left="360"/>
        <w:rPr>
          <w:lang w:val="el-GR"/>
        </w:rPr>
      </w:pPr>
      <w:r w:rsidRPr="008F7E72">
        <w:rPr>
          <w:i/>
          <w:lang w:val="el-GR"/>
        </w:rPr>
        <w:t>Ζητούμε να δοθούν εντολές στις αρμόδιες αρχές να ενημερώνουν τον ως άνω πίνακα κάθε φορά ου προστίθενται νέα προϊόντα, όπως ενημερώνουν και τα αρμόδια τελωνεία.</w:t>
      </w:r>
      <w:r w:rsidRPr="00094DF3">
        <w:rPr>
          <w:lang w:val="el-GR"/>
        </w:rPr>
        <w:t xml:space="preserve"> </w:t>
      </w:r>
    </w:p>
    <w:p w:rsidR="009E02CB" w:rsidRDefault="009E02CB" w:rsidP="00B067CE">
      <w:pPr>
        <w:ind w:left="720"/>
      </w:pPr>
    </w:p>
    <w:p w:rsidR="00B067CE" w:rsidRPr="0038579E" w:rsidRDefault="00B067CE" w:rsidP="00C72A04">
      <w:pPr>
        <w:pStyle w:val="ListParagraph"/>
        <w:numPr>
          <w:ilvl w:val="0"/>
          <w:numId w:val="21"/>
        </w:numPr>
        <w:contextualSpacing/>
        <w:rPr>
          <w:b/>
        </w:rPr>
      </w:pPr>
      <w:r w:rsidRPr="0038579E">
        <w:rPr>
          <w:b/>
        </w:rPr>
        <w:t>Ένωση Ναυτικών Πρακτ</w:t>
      </w:r>
      <w:r w:rsidR="00094DF3">
        <w:rPr>
          <w:b/>
        </w:rPr>
        <w:t xml:space="preserve">όρων </w:t>
      </w:r>
      <w:r w:rsidRPr="0038579E">
        <w:rPr>
          <w:rFonts w:cs="Tahoma"/>
          <w:b/>
        </w:rPr>
        <w:t>"ΕΠΙΣΤΟΛΗ ΔΙΑΜΑΡΤΥΡΙΑΣ ΠΡΟΣ ΥΝΑ ΓΙΑ ΠΑΓΙΑ ΤΕΛΗ ΑΠΟΒΛΗΤΩΝ ΕΙΣ ΑΓΚΥΡΟΒΟΛΙΟ"</w:t>
      </w:r>
    </w:p>
    <w:p w:rsidR="00B067CE" w:rsidRDefault="00B067CE" w:rsidP="00B067CE">
      <w:pPr>
        <w:pStyle w:val="ListParagraph"/>
        <w:ind w:left="1800"/>
        <w:rPr>
          <w:b/>
        </w:rPr>
      </w:pPr>
    </w:p>
    <w:p w:rsidR="00B067CE" w:rsidRPr="008F7E72" w:rsidRDefault="00B067CE" w:rsidP="00B067CE">
      <w:pPr>
        <w:pStyle w:val="ListParagraph"/>
        <w:ind w:left="1800"/>
      </w:pPr>
      <w:r w:rsidRPr="008F7E72">
        <w:t>Έγινε έγγραφο υποστήριξης προς τον ΣΩ.Ν.Π.Α.Π, με το οποίο τονίζεται ότι η επιβολή επί πλέον τελών, ιδιαίτερα στα διερχόμενα πλοία θα έχει δυσμενείς συνέπειες στο εμπόριο εφοδιασμού πλοίων, καθόσον τα πλοία αυτά προμηθεύονται αρκετές ποσότητες εφοδίων και ενισχύουν το εφοδιαστικό εμπόριο</w:t>
      </w:r>
    </w:p>
    <w:p w:rsidR="00B067CE" w:rsidRPr="0090125C" w:rsidRDefault="00B067CE" w:rsidP="00B067CE">
      <w:pPr>
        <w:pStyle w:val="ListParagraph"/>
        <w:ind w:left="1800"/>
        <w:rPr>
          <w:b/>
        </w:rPr>
      </w:pPr>
    </w:p>
    <w:p w:rsidR="00B067CE" w:rsidRPr="0038579E" w:rsidRDefault="00094DF3" w:rsidP="00C72A04">
      <w:pPr>
        <w:pStyle w:val="ListParagraph"/>
        <w:numPr>
          <w:ilvl w:val="0"/>
          <w:numId w:val="21"/>
        </w:numPr>
        <w:contextualSpacing/>
        <w:rPr>
          <w:b/>
        </w:rPr>
      </w:pPr>
      <w:r>
        <w:rPr>
          <w:b/>
        </w:rPr>
        <w:t xml:space="preserve">COSMATOS BROS </w:t>
      </w:r>
      <w:r w:rsidR="00B067CE" w:rsidRPr="0038579E">
        <w:rPr>
          <w:b/>
        </w:rPr>
        <w:t>πρόβλημα που αντιμετώπισε σε πρόσφατο φορολογικό έλεγχο.</w:t>
      </w:r>
      <w:r w:rsidR="00B067CE">
        <w:rPr>
          <w:b/>
        </w:rPr>
        <w:t xml:space="preserve"> </w:t>
      </w:r>
      <w:r>
        <w:rPr>
          <w:b/>
        </w:rPr>
        <w:t xml:space="preserve">Φορολόγηση πλυντηρίων που παραδόθηκαν ως εφόδια πλοίων </w:t>
      </w:r>
      <w:r w:rsidR="00B067CE" w:rsidRPr="0038579E">
        <w:rPr>
          <w:b/>
        </w:rPr>
        <w:t>(Σύνταξη υπομνήματος από Π.Σ.Ε.Π.Ε)</w:t>
      </w:r>
    </w:p>
    <w:p w:rsidR="00B067CE" w:rsidRDefault="00B067CE" w:rsidP="00B067CE">
      <w:pPr>
        <w:pStyle w:val="ListParagraph"/>
        <w:ind w:left="1800"/>
        <w:rPr>
          <w:b/>
        </w:rPr>
      </w:pPr>
    </w:p>
    <w:p w:rsidR="00B067CE" w:rsidRPr="008F7E72" w:rsidRDefault="00B067CE" w:rsidP="00B067CE">
      <w:pPr>
        <w:pStyle w:val="ListParagraph"/>
        <w:ind w:left="1800"/>
      </w:pPr>
      <w:r w:rsidRPr="008F7E72">
        <w:t>Έγινε σχέδιο επιστολής προς την Α ΔΟΥ Θεσσαλονίκης και το Υπουργείο, με την οποία αντικρούεται η άποψη ότι τα πλυντήρια ανήκουν στον οικιακό εξοπλισμό για τα οποία απαγορεύεται ο ατελής εφοδιασμός πλοίων.</w:t>
      </w:r>
    </w:p>
    <w:p w:rsidR="00B067CE" w:rsidRPr="008D694B" w:rsidRDefault="00B067CE" w:rsidP="00B067CE">
      <w:pPr>
        <w:pStyle w:val="ListParagraph"/>
        <w:ind w:left="1800"/>
        <w:rPr>
          <w:i/>
        </w:rPr>
      </w:pPr>
    </w:p>
    <w:p w:rsidR="00B067CE" w:rsidRPr="0090125C" w:rsidRDefault="00B067CE" w:rsidP="00B067CE">
      <w:pPr>
        <w:pStyle w:val="ListParagraph"/>
        <w:ind w:left="1800"/>
        <w:rPr>
          <w:b/>
        </w:rPr>
      </w:pPr>
    </w:p>
    <w:p w:rsidR="00B067CE" w:rsidRPr="0038579E" w:rsidRDefault="00B067CE" w:rsidP="00C72A04">
      <w:pPr>
        <w:pStyle w:val="ListParagraph"/>
        <w:numPr>
          <w:ilvl w:val="0"/>
          <w:numId w:val="21"/>
        </w:numPr>
        <w:contextualSpacing/>
        <w:rPr>
          <w:b/>
        </w:rPr>
      </w:pPr>
      <w:r w:rsidRPr="0038579E">
        <w:rPr>
          <w:b/>
        </w:rPr>
        <w:t xml:space="preserve">Επιστολή – απάντηση του συλλόγου σε αίτημα του </w:t>
      </w:r>
      <w:r w:rsidRPr="0038579E">
        <w:rPr>
          <w:b/>
          <w:lang w:val="en-US"/>
        </w:rPr>
        <w:t>OCEAN</w:t>
      </w:r>
      <w:r w:rsidRPr="0038579E">
        <w:rPr>
          <w:b/>
        </w:rPr>
        <w:t xml:space="preserve"> σχετικά με την δημιουργία ενός ευρωπαϊκού οδηγού με πληροφορίες για της νομοθεσίες των χωρών που επηρεάζουν τον κλάδο.</w:t>
      </w:r>
    </w:p>
    <w:p w:rsidR="00B067CE" w:rsidRDefault="00B067CE" w:rsidP="00B067CE">
      <w:pPr>
        <w:pStyle w:val="ListParagraph"/>
        <w:ind w:left="1800"/>
        <w:rPr>
          <w:i/>
        </w:rPr>
      </w:pPr>
    </w:p>
    <w:p w:rsidR="00B067CE" w:rsidRPr="008F7E72" w:rsidRDefault="00B067CE" w:rsidP="00C72A04">
      <w:bookmarkStart w:id="0" w:name="_GoBack"/>
      <w:r w:rsidRPr="008F7E72">
        <w:t xml:space="preserve">Επειδή ο οδηγός θα είναι προσβάσιμος μόνο στα μέλη της </w:t>
      </w:r>
      <w:r w:rsidRPr="008F7E72">
        <w:rPr>
          <w:lang w:val="en-US"/>
        </w:rPr>
        <w:t>OCEAN</w:t>
      </w:r>
      <w:r w:rsidRPr="008F7E72">
        <w:t xml:space="preserve"> τέθηκε το θέμα εγγραφής του ΠΣΕΠ στον ενλόγω ευρωπαϊκό επαγγελματικό οργανισμό, προκειμένου να υπάρχει ενημέρωση για όλα τα θέματα σχετικά με τα εφαρμοζόμενα σε άλλα κράτη μέλη της Ευρωπαϊκής Ένωσης.</w:t>
      </w:r>
    </w:p>
    <w:bookmarkEnd w:id="0"/>
    <w:p w:rsidR="00B067CE" w:rsidRDefault="00B067CE" w:rsidP="00B067CE">
      <w:pPr>
        <w:pStyle w:val="ListParagraph"/>
        <w:ind w:left="1800"/>
        <w:rPr>
          <w:b/>
        </w:rPr>
      </w:pPr>
    </w:p>
    <w:p w:rsidR="00B067CE" w:rsidRDefault="00B067CE" w:rsidP="00C72A04">
      <w:pPr>
        <w:pStyle w:val="ListParagraph"/>
        <w:numPr>
          <w:ilvl w:val="0"/>
          <w:numId w:val="21"/>
        </w:numPr>
        <w:contextualSpacing/>
        <w:rPr>
          <w:b/>
        </w:rPr>
      </w:pPr>
      <w:r w:rsidRPr="0090125C">
        <w:rPr>
          <w:b/>
        </w:rPr>
        <w:t>ISSA REGISTRATION 2015</w:t>
      </w:r>
    </w:p>
    <w:p w:rsidR="00C72A04" w:rsidRPr="0090125C" w:rsidRDefault="00C72A04" w:rsidP="00C72A04">
      <w:pPr>
        <w:pStyle w:val="ListParagraph"/>
        <w:ind w:left="1800"/>
        <w:contextualSpacing/>
        <w:rPr>
          <w:b/>
        </w:rPr>
      </w:pPr>
    </w:p>
    <w:p w:rsidR="00B067CE" w:rsidRPr="00C72A04" w:rsidRDefault="00C72A04" w:rsidP="00B067CE">
      <w:pPr>
        <w:pStyle w:val="ListParagraph"/>
        <w:ind w:left="1800"/>
      </w:pPr>
      <w:r w:rsidRPr="00C72A04">
        <w:t xml:space="preserve">Ολοκληρώθηκαν 30 </w:t>
      </w:r>
      <w:r w:rsidR="00B067CE" w:rsidRPr="00C72A04">
        <w:t xml:space="preserve"> εγγραφές μελών μας για </w:t>
      </w:r>
      <w:r w:rsidRPr="00C72A04">
        <w:t>το έτος 2015.</w:t>
      </w:r>
    </w:p>
    <w:p w:rsidR="00B067CE" w:rsidRDefault="00B067CE" w:rsidP="00B067CE">
      <w:pPr>
        <w:pStyle w:val="ListParagraph"/>
        <w:ind w:left="1800"/>
      </w:pPr>
    </w:p>
    <w:p w:rsidR="00B067CE" w:rsidRDefault="00B067CE" w:rsidP="00B067CE">
      <w:pPr>
        <w:pStyle w:val="ListParagraph"/>
        <w:ind w:left="1800"/>
        <w:rPr>
          <w:i/>
        </w:rPr>
      </w:pPr>
    </w:p>
    <w:sectPr w:rsidR="00B067C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08A"/>
    <w:multiLevelType w:val="hybridMultilevel"/>
    <w:tmpl w:val="4210E4C2"/>
    <w:lvl w:ilvl="0" w:tplc="04080013">
      <w:start w:val="1"/>
      <w:numFmt w:val="upperRoman"/>
      <w:lvlText w:val="%1."/>
      <w:lvlJc w:val="righ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3BB4FEC"/>
    <w:multiLevelType w:val="multilevel"/>
    <w:tmpl w:val="494C41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98F25E4"/>
    <w:multiLevelType w:val="hybridMultilevel"/>
    <w:tmpl w:val="D19255AE"/>
    <w:lvl w:ilvl="0" w:tplc="7E562334">
      <w:start w:val="1"/>
      <w:numFmt w:val="upperRoman"/>
      <w:lvlText w:val="%1."/>
      <w:lvlJc w:val="right"/>
      <w:pPr>
        <w:ind w:left="1800" w:hanging="360"/>
      </w:pPr>
      <w:rPr>
        <w:b/>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3">
    <w:nsid w:val="1B000BA7"/>
    <w:multiLevelType w:val="hybridMultilevel"/>
    <w:tmpl w:val="3738EC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2F34B67"/>
    <w:multiLevelType w:val="hybridMultilevel"/>
    <w:tmpl w:val="D696F3E4"/>
    <w:lvl w:ilvl="0" w:tplc="04080013">
      <w:start w:val="1"/>
      <w:numFmt w:val="upperRoman"/>
      <w:lvlText w:val="%1."/>
      <w:lvlJc w:val="right"/>
      <w:pPr>
        <w:ind w:left="2520" w:hanging="360"/>
      </w:pPr>
    </w:lvl>
    <w:lvl w:ilvl="1" w:tplc="04080019" w:tentative="1">
      <w:start w:val="1"/>
      <w:numFmt w:val="lowerLetter"/>
      <w:lvlText w:val="%2."/>
      <w:lvlJc w:val="left"/>
      <w:pPr>
        <w:ind w:left="3240" w:hanging="360"/>
      </w:pPr>
    </w:lvl>
    <w:lvl w:ilvl="2" w:tplc="0408001B" w:tentative="1">
      <w:start w:val="1"/>
      <w:numFmt w:val="lowerRoman"/>
      <w:lvlText w:val="%3."/>
      <w:lvlJc w:val="right"/>
      <w:pPr>
        <w:ind w:left="3960" w:hanging="180"/>
      </w:pPr>
    </w:lvl>
    <w:lvl w:ilvl="3" w:tplc="0408000F" w:tentative="1">
      <w:start w:val="1"/>
      <w:numFmt w:val="decimal"/>
      <w:lvlText w:val="%4."/>
      <w:lvlJc w:val="left"/>
      <w:pPr>
        <w:ind w:left="4680" w:hanging="360"/>
      </w:pPr>
    </w:lvl>
    <w:lvl w:ilvl="4" w:tplc="04080019" w:tentative="1">
      <w:start w:val="1"/>
      <w:numFmt w:val="lowerLetter"/>
      <w:lvlText w:val="%5."/>
      <w:lvlJc w:val="left"/>
      <w:pPr>
        <w:ind w:left="5400" w:hanging="360"/>
      </w:pPr>
    </w:lvl>
    <w:lvl w:ilvl="5" w:tplc="0408001B" w:tentative="1">
      <w:start w:val="1"/>
      <w:numFmt w:val="lowerRoman"/>
      <w:lvlText w:val="%6."/>
      <w:lvlJc w:val="right"/>
      <w:pPr>
        <w:ind w:left="6120" w:hanging="180"/>
      </w:pPr>
    </w:lvl>
    <w:lvl w:ilvl="6" w:tplc="0408000F" w:tentative="1">
      <w:start w:val="1"/>
      <w:numFmt w:val="decimal"/>
      <w:lvlText w:val="%7."/>
      <w:lvlJc w:val="left"/>
      <w:pPr>
        <w:ind w:left="6840" w:hanging="360"/>
      </w:pPr>
    </w:lvl>
    <w:lvl w:ilvl="7" w:tplc="04080019" w:tentative="1">
      <w:start w:val="1"/>
      <w:numFmt w:val="lowerLetter"/>
      <w:lvlText w:val="%8."/>
      <w:lvlJc w:val="left"/>
      <w:pPr>
        <w:ind w:left="7560" w:hanging="360"/>
      </w:pPr>
    </w:lvl>
    <w:lvl w:ilvl="8" w:tplc="0408001B" w:tentative="1">
      <w:start w:val="1"/>
      <w:numFmt w:val="lowerRoman"/>
      <w:lvlText w:val="%9."/>
      <w:lvlJc w:val="right"/>
      <w:pPr>
        <w:ind w:left="8280" w:hanging="180"/>
      </w:pPr>
    </w:lvl>
  </w:abstractNum>
  <w:abstractNum w:abstractNumId="5">
    <w:nsid w:val="33AC7EB8"/>
    <w:multiLevelType w:val="multilevel"/>
    <w:tmpl w:val="6F7E942C"/>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pStyle w:val="Heading7"/>
      <w:lvlText w:val="%1.%2.%3.%4.%5.%6.%7"/>
      <w:lvlJc w:val="left"/>
      <w:pPr>
        <w:tabs>
          <w:tab w:val="num" w:pos="1440"/>
        </w:tabs>
        <w:ind w:left="0" w:firstLine="0"/>
      </w:pPr>
    </w:lvl>
    <w:lvl w:ilvl="7">
      <w:start w:val="1"/>
      <w:numFmt w:val="decimal"/>
      <w:pStyle w:val="Heading8"/>
      <w:lvlText w:val="%1.%2.%3.%4.%5.%6.%7.%8"/>
      <w:lvlJc w:val="left"/>
      <w:pPr>
        <w:tabs>
          <w:tab w:val="num" w:pos="1800"/>
        </w:tabs>
        <w:ind w:left="0" w:firstLine="0"/>
      </w:pPr>
    </w:lvl>
    <w:lvl w:ilvl="8">
      <w:start w:val="1"/>
      <w:numFmt w:val="decimal"/>
      <w:pStyle w:val="Heading9"/>
      <w:lvlText w:val="%1.%2.%3.%4.%5.%6.%7.%8.%9"/>
      <w:lvlJc w:val="left"/>
      <w:pPr>
        <w:tabs>
          <w:tab w:val="num" w:pos="1800"/>
        </w:tabs>
        <w:ind w:left="0" w:firstLine="0"/>
      </w:pPr>
    </w:lvl>
  </w:abstractNum>
  <w:abstractNum w:abstractNumId="6">
    <w:nsid w:val="36D6702E"/>
    <w:multiLevelType w:val="hybridMultilevel"/>
    <w:tmpl w:val="AF862F4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3DE42303"/>
    <w:multiLevelType w:val="hybridMultilevel"/>
    <w:tmpl w:val="D352A2AE"/>
    <w:lvl w:ilvl="0" w:tplc="70B433FC">
      <w:start w:val="1"/>
      <w:numFmt w:val="decimal"/>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F305FFD"/>
    <w:multiLevelType w:val="hybridMultilevel"/>
    <w:tmpl w:val="AF1C5104"/>
    <w:lvl w:ilvl="0" w:tplc="5E009D64">
      <w:start w:val="1"/>
      <w:numFmt w:val="decimal"/>
      <w:lvlText w:val="%1."/>
      <w:lvlJc w:val="left"/>
      <w:pPr>
        <w:ind w:left="1080" w:hanging="360"/>
      </w:pPr>
      <w:rPr>
        <w:rFonts w:hint="default"/>
        <w:color w:val="00000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nsid w:val="4BD4555E"/>
    <w:multiLevelType w:val="hybridMultilevel"/>
    <w:tmpl w:val="84EA9B70"/>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0">
    <w:nsid w:val="4D8C4140"/>
    <w:multiLevelType w:val="hybridMultilevel"/>
    <w:tmpl w:val="F80EFCB0"/>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nsid w:val="56A06E47"/>
    <w:multiLevelType w:val="hybridMultilevel"/>
    <w:tmpl w:val="1D00C8E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AE957B2"/>
    <w:multiLevelType w:val="hybridMultilevel"/>
    <w:tmpl w:val="3B6E3C46"/>
    <w:lvl w:ilvl="0" w:tplc="04080013">
      <w:start w:val="1"/>
      <w:numFmt w:val="upperRoman"/>
      <w:lvlText w:val="%1."/>
      <w:lvlJc w:val="righ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3">
    <w:nsid w:val="62B212A5"/>
    <w:multiLevelType w:val="hybridMultilevel"/>
    <w:tmpl w:val="EA8A61A6"/>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4">
    <w:nsid w:val="69C04B34"/>
    <w:multiLevelType w:val="hybridMultilevel"/>
    <w:tmpl w:val="890E522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04D03E6"/>
    <w:multiLevelType w:val="hybridMultilevel"/>
    <w:tmpl w:val="9BE2C5BE"/>
    <w:lvl w:ilvl="0" w:tplc="04080013">
      <w:start w:val="1"/>
      <w:numFmt w:val="upperRoman"/>
      <w:lvlText w:val="%1."/>
      <w:lvlJc w:val="righ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6">
    <w:nsid w:val="71D019B3"/>
    <w:multiLevelType w:val="hybridMultilevel"/>
    <w:tmpl w:val="DEDA16A0"/>
    <w:lvl w:ilvl="0" w:tplc="577ED55A">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nsid w:val="77D90B3E"/>
    <w:multiLevelType w:val="hybridMultilevel"/>
    <w:tmpl w:val="F89E716E"/>
    <w:lvl w:ilvl="0" w:tplc="FD5080EC">
      <w:start w:val="2"/>
      <w:numFmt w:val="upperRoman"/>
      <w:lvlText w:val="%1."/>
      <w:lvlJc w:val="right"/>
      <w:pPr>
        <w:ind w:left="180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7A9326F4"/>
    <w:multiLevelType w:val="hybridMultilevel"/>
    <w:tmpl w:val="4B487F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16"/>
  </w:num>
  <w:num w:numId="12">
    <w:abstractNumId w:val="2"/>
  </w:num>
  <w:num w:numId="13">
    <w:abstractNumId w:val="17"/>
  </w:num>
  <w:num w:numId="14">
    <w:abstractNumId w:val="11"/>
  </w:num>
  <w:num w:numId="15">
    <w:abstractNumId w:val="12"/>
  </w:num>
  <w:num w:numId="16">
    <w:abstractNumId w:val="15"/>
  </w:num>
  <w:num w:numId="17">
    <w:abstractNumId w:val="4"/>
  </w:num>
  <w:num w:numId="18">
    <w:abstractNumId w:val="0"/>
  </w:num>
  <w:num w:numId="19">
    <w:abstractNumId w:val="7"/>
  </w:num>
  <w:num w:numId="20">
    <w:abstractNumId w:val="8"/>
  </w:num>
  <w:num w:numId="21">
    <w:abstractNumId w:val="3"/>
  </w:num>
  <w:num w:numId="22">
    <w:abstractNumId w:val="1"/>
  </w:num>
  <w:num w:numId="23">
    <w:abstractNumId w:val="18"/>
  </w:num>
  <w:num w:numId="24">
    <w:abstractNumId w:val="14"/>
  </w:num>
  <w:num w:numId="25">
    <w:abstractNumId w:val="13"/>
  </w:num>
  <w:num w:numId="26">
    <w:abstractNumId w:val="6"/>
  </w:num>
  <w:num w:numId="27">
    <w:abstractNumId w:val="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7CE"/>
    <w:rsid w:val="00094DF3"/>
    <w:rsid w:val="002976BB"/>
    <w:rsid w:val="0040275C"/>
    <w:rsid w:val="004240D8"/>
    <w:rsid w:val="00830E71"/>
    <w:rsid w:val="008F7E72"/>
    <w:rsid w:val="00922A45"/>
    <w:rsid w:val="009E02CB"/>
    <w:rsid w:val="00B067CE"/>
    <w:rsid w:val="00C72A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7CE"/>
    <w:pPr>
      <w:spacing w:after="200" w:line="276" w:lineRule="auto"/>
    </w:pPr>
  </w:style>
  <w:style w:type="paragraph" w:styleId="Heading1">
    <w:name w:val="heading 1"/>
    <w:basedOn w:val="Normal"/>
    <w:next w:val="Normal"/>
    <w:link w:val="Heading1Char"/>
    <w:qFormat/>
    <w:rsid w:val="00922A45"/>
    <w:pPr>
      <w:numPr>
        <w:numId w:val="10"/>
      </w:numPr>
      <w:outlineLvl w:val="0"/>
    </w:pPr>
    <w:rPr>
      <w:rFonts w:ascii="Arial" w:eastAsia="Times New Roman" w:hAnsi="Arial" w:cs="Times New Roman"/>
      <w:b/>
      <w:bCs/>
      <w:snapToGrid w:val="0"/>
    </w:rPr>
  </w:style>
  <w:style w:type="paragraph" w:styleId="Heading2">
    <w:name w:val="heading 2"/>
    <w:basedOn w:val="Normal"/>
    <w:next w:val="Normal"/>
    <w:link w:val="Heading2Char"/>
    <w:unhideWhenUsed/>
    <w:qFormat/>
    <w:rsid w:val="00922A45"/>
    <w:pPr>
      <w:keepNext/>
      <w:numPr>
        <w:ilvl w:val="1"/>
        <w:numId w:val="10"/>
      </w:numPr>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nhideWhenUsed/>
    <w:qFormat/>
    <w:rsid w:val="00922A45"/>
    <w:pPr>
      <w:keepNext/>
      <w:numPr>
        <w:ilvl w:val="2"/>
        <w:numId w:val="10"/>
      </w:numPr>
      <w:spacing w:before="240" w:after="60"/>
      <w:outlineLvl w:val="2"/>
    </w:pPr>
    <w:rPr>
      <w:rFonts w:ascii="Cambria" w:eastAsia="Times New Roman" w:hAnsi="Cambria" w:cs="Times New Roman"/>
      <w:b/>
      <w:bCs/>
      <w:sz w:val="26"/>
      <w:szCs w:val="26"/>
    </w:rPr>
  </w:style>
  <w:style w:type="paragraph" w:styleId="Heading4">
    <w:name w:val="heading 4"/>
    <w:basedOn w:val="Heading3"/>
    <w:next w:val="Normal"/>
    <w:link w:val="Heading4Char"/>
    <w:qFormat/>
    <w:rsid w:val="00922A45"/>
    <w:pPr>
      <w:numPr>
        <w:ilvl w:val="3"/>
      </w:numPr>
      <w:tabs>
        <w:tab w:val="left" w:pos="941"/>
        <w:tab w:val="left" w:pos="1140"/>
        <w:tab w:val="left" w:pos="1360"/>
      </w:tabs>
      <w:suppressAutoHyphens/>
      <w:spacing w:before="60" w:after="240" w:line="230" w:lineRule="exact"/>
      <w:outlineLvl w:val="3"/>
    </w:pPr>
    <w:rPr>
      <w:rFonts w:ascii="Arial" w:eastAsia="MS Mincho" w:hAnsi="Arial"/>
      <w:bCs w:val="0"/>
      <w:snapToGrid w:val="0"/>
      <w:sz w:val="20"/>
      <w:szCs w:val="20"/>
      <w:lang w:val="en-GB"/>
    </w:rPr>
  </w:style>
  <w:style w:type="paragraph" w:styleId="Heading5">
    <w:name w:val="heading 5"/>
    <w:basedOn w:val="Heading4"/>
    <w:next w:val="Normal"/>
    <w:link w:val="Heading5Char"/>
    <w:qFormat/>
    <w:rsid w:val="00922A45"/>
    <w:pPr>
      <w:numPr>
        <w:ilvl w:val="4"/>
      </w:numPr>
      <w:tabs>
        <w:tab w:val="clear" w:pos="941"/>
        <w:tab w:val="clear" w:pos="1140"/>
        <w:tab w:val="clear" w:pos="1360"/>
      </w:tabs>
      <w:outlineLvl w:val="4"/>
    </w:pPr>
  </w:style>
  <w:style w:type="paragraph" w:styleId="Heading6">
    <w:name w:val="heading 6"/>
    <w:basedOn w:val="Heading5"/>
    <w:next w:val="Normal"/>
    <w:link w:val="Heading6Char"/>
    <w:qFormat/>
    <w:rsid w:val="00922A45"/>
    <w:pPr>
      <w:numPr>
        <w:ilvl w:val="5"/>
      </w:numPr>
      <w:outlineLvl w:val="5"/>
    </w:pPr>
  </w:style>
  <w:style w:type="paragraph" w:styleId="Heading7">
    <w:name w:val="heading 7"/>
    <w:basedOn w:val="Heading6"/>
    <w:next w:val="Normal"/>
    <w:link w:val="Heading7Char"/>
    <w:qFormat/>
    <w:rsid w:val="00922A45"/>
    <w:pPr>
      <w:numPr>
        <w:ilvl w:val="6"/>
      </w:numPr>
      <w:outlineLvl w:val="6"/>
    </w:pPr>
  </w:style>
  <w:style w:type="paragraph" w:styleId="Heading8">
    <w:name w:val="heading 8"/>
    <w:basedOn w:val="Heading6"/>
    <w:next w:val="Normal"/>
    <w:link w:val="Heading8Char"/>
    <w:qFormat/>
    <w:rsid w:val="00922A45"/>
    <w:pPr>
      <w:numPr>
        <w:ilvl w:val="7"/>
      </w:numPr>
      <w:tabs>
        <w:tab w:val="left" w:pos="1418"/>
      </w:tabs>
      <w:outlineLvl w:val="7"/>
    </w:pPr>
  </w:style>
  <w:style w:type="paragraph" w:styleId="Heading9">
    <w:name w:val="heading 9"/>
    <w:basedOn w:val="Heading6"/>
    <w:next w:val="Normal"/>
    <w:link w:val="Heading9Char"/>
    <w:qFormat/>
    <w:rsid w:val="00922A45"/>
    <w:pPr>
      <w:numPr>
        <w:ilvl w:val="8"/>
      </w:numPr>
      <w:tabs>
        <w:tab w:val="left" w:pos="1418"/>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2A45"/>
    <w:rPr>
      <w:rFonts w:ascii="Arial" w:eastAsia="Times New Roman" w:hAnsi="Arial" w:cs="Times New Roman"/>
      <w:b/>
      <w:bCs/>
      <w:lang w:val="fr-FR" w:eastAsia="fr-FR"/>
    </w:rPr>
  </w:style>
  <w:style w:type="character" w:customStyle="1" w:styleId="Heading2Char">
    <w:name w:val="Heading 2 Char"/>
    <w:basedOn w:val="DefaultParagraphFont"/>
    <w:link w:val="Heading2"/>
    <w:rsid w:val="00922A45"/>
    <w:rPr>
      <w:rFonts w:ascii="Cambria" w:eastAsia="Times New Roman" w:hAnsi="Cambria" w:cs="Times New Roman"/>
      <w:b/>
      <w:bCs/>
      <w:i/>
      <w:iCs/>
      <w:snapToGrid w:val="0"/>
      <w:sz w:val="28"/>
      <w:szCs w:val="28"/>
      <w:lang w:val="fr-FR" w:eastAsia="fr-FR"/>
    </w:rPr>
  </w:style>
  <w:style w:type="character" w:customStyle="1" w:styleId="Heading3Char">
    <w:name w:val="Heading 3 Char"/>
    <w:basedOn w:val="DefaultParagraphFont"/>
    <w:link w:val="Heading3"/>
    <w:rsid w:val="00922A45"/>
    <w:rPr>
      <w:rFonts w:ascii="Cambria" w:eastAsia="Times New Roman" w:hAnsi="Cambria" w:cs="Times New Roman"/>
      <w:b/>
      <w:bCs/>
      <w:snapToGrid w:val="0"/>
      <w:sz w:val="26"/>
      <w:szCs w:val="26"/>
      <w:lang w:val="fr-FR" w:eastAsia="fr-FR"/>
    </w:rPr>
  </w:style>
  <w:style w:type="character" w:customStyle="1" w:styleId="Heading4Char">
    <w:name w:val="Heading 4 Char"/>
    <w:basedOn w:val="DefaultParagraphFont"/>
    <w:link w:val="Heading4"/>
    <w:rsid w:val="00922A45"/>
    <w:rPr>
      <w:rFonts w:ascii="Arial" w:eastAsia="MS Mincho" w:hAnsi="Arial" w:cs="Times New Roman"/>
      <w:b/>
      <w:sz w:val="20"/>
      <w:szCs w:val="20"/>
      <w:lang w:val="en-GB" w:eastAsia="fr-FR"/>
    </w:rPr>
  </w:style>
  <w:style w:type="character" w:customStyle="1" w:styleId="Heading5Char">
    <w:name w:val="Heading 5 Char"/>
    <w:basedOn w:val="DefaultParagraphFont"/>
    <w:link w:val="Heading5"/>
    <w:rsid w:val="00922A45"/>
    <w:rPr>
      <w:rFonts w:ascii="Arial" w:eastAsia="MS Mincho" w:hAnsi="Arial" w:cs="Times New Roman"/>
      <w:b/>
      <w:sz w:val="20"/>
      <w:szCs w:val="20"/>
      <w:lang w:val="en-GB" w:eastAsia="fr-FR"/>
    </w:rPr>
  </w:style>
  <w:style w:type="character" w:customStyle="1" w:styleId="Heading6Char">
    <w:name w:val="Heading 6 Char"/>
    <w:basedOn w:val="DefaultParagraphFont"/>
    <w:link w:val="Heading6"/>
    <w:rsid w:val="00922A45"/>
    <w:rPr>
      <w:rFonts w:ascii="Arial" w:eastAsia="MS Mincho" w:hAnsi="Arial" w:cs="Times New Roman"/>
      <w:b/>
      <w:sz w:val="20"/>
      <w:szCs w:val="20"/>
      <w:lang w:val="en-GB" w:eastAsia="fr-FR"/>
    </w:rPr>
  </w:style>
  <w:style w:type="character" w:customStyle="1" w:styleId="Heading7Char">
    <w:name w:val="Heading 7 Char"/>
    <w:basedOn w:val="DefaultParagraphFont"/>
    <w:link w:val="Heading7"/>
    <w:rsid w:val="00922A45"/>
    <w:rPr>
      <w:rFonts w:ascii="Arial" w:eastAsia="MS Mincho" w:hAnsi="Arial" w:cs="Times New Roman"/>
      <w:b/>
      <w:sz w:val="20"/>
      <w:szCs w:val="20"/>
      <w:lang w:val="en-GB" w:eastAsia="fr-FR"/>
    </w:rPr>
  </w:style>
  <w:style w:type="character" w:customStyle="1" w:styleId="Heading8Char">
    <w:name w:val="Heading 8 Char"/>
    <w:basedOn w:val="DefaultParagraphFont"/>
    <w:link w:val="Heading8"/>
    <w:rsid w:val="00922A45"/>
    <w:rPr>
      <w:rFonts w:ascii="Arial" w:eastAsia="MS Mincho" w:hAnsi="Arial" w:cs="Times New Roman"/>
      <w:b/>
      <w:sz w:val="20"/>
      <w:szCs w:val="20"/>
      <w:lang w:val="en-GB" w:eastAsia="fr-FR"/>
    </w:rPr>
  </w:style>
  <w:style w:type="character" w:customStyle="1" w:styleId="Heading9Char">
    <w:name w:val="Heading 9 Char"/>
    <w:basedOn w:val="DefaultParagraphFont"/>
    <w:link w:val="Heading9"/>
    <w:rsid w:val="00922A45"/>
    <w:rPr>
      <w:rFonts w:ascii="Arial" w:eastAsia="MS Mincho" w:hAnsi="Arial" w:cs="Times New Roman"/>
      <w:b/>
      <w:sz w:val="20"/>
      <w:szCs w:val="20"/>
      <w:lang w:val="en-GB" w:eastAsia="fr-FR"/>
    </w:rPr>
  </w:style>
  <w:style w:type="paragraph" w:styleId="Caption">
    <w:name w:val="caption"/>
    <w:basedOn w:val="Normal"/>
    <w:next w:val="Normal"/>
    <w:qFormat/>
    <w:rsid w:val="00922A45"/>
    <w:pPr>
      <w:spacing w:before="120" w:after="120" w:line="230" w:lineRule="atLeast"/>
      <w:jc w:val="both"/>
    </w:pPr>
    <w:rPr>
      <w:rFonts w:ascii="Arial" w:eastAsia="MS Mincho" w:hAnsi="Arial" w:cs="Times New Roman"/>
      <w:b/>
      <w:snapToGrid w:val="0"/>
      <w:sz w:val="20"/>
      <w:lang w:val="en-GB"/>
    </w:rPr>
  </w:style>
  <w:style w:type="paragraph" w:styleId="Title">
    <w:name w:val="Title"/>
    <w:basedOn w:val="Normal"/>
    <w:link w:val="TitleChar"/>
    <w:qFormat/>
    <w:rsid w:val="00922A45"/>
    <w:pPr>
      <w:jc w:val="center"/>
    </w:pPr>
    <w:rPr>
      <w:rFonts w:ascii="Arial" w:eastAsia="Times New Roman" w:hAnsi="Arial" w:cs="Times New Roman"/>
      <w:b/>
      <w:bCs/>
      <w:snapToGrid w:val="0"/>
    </w:rPr>
  </w:style>
  <w:style w:type="character" w:customStyle="1" w:styleId="TitleChar">
    <w:name w:val="Title Char"/>
    <w:basedOn w:val="DefaultParagraphFont"/>
    <w:link w:val="Title"/>
    <w:rsid w:val="00922A45"/>
    <w:rPr>
      <w:rFonts w:ascii="Arial" w:eastAsia="Times New Roman" w:hAnsi="Arial" w:cs="Times New Roman"/>
      <w:b/>
      <w:bCs/>
      <w:lang w:val="fr-FR" w:eastAsia="fr-FR"/>
    </w:rPr>
  </w:style>
  <w:style w:type="paragraph" w:styleId="Subtitle">
    <w:name w:val="Subtitle"/>
    <w:basedOn w:val="Normal"/>
    <w:link w:val="SubtitleChar"/>
    <w:qFormat/>
    <w:rsid w:val="00922A45"/>
    <w:pPr>
      <w:spacing w:after="60" w:line="230" w:lineRule="atLeast"/>
      <w:jc w:val="center"/>
      <w:outlineLvl w:val="1"/>
    </w:pPr>
    <w:rPr>
      <w:rFonts w:ascii="Arial" w:eastAsia="MS Mincho" w:hAnsi="Arial" w:cs="Times New Roman"/>
      <w:snapToGrid w:val="0"/>
      <w:sz w:val="24"/>
      <w:lang w:val="en-GB"/>
    </w:rPr>
  </w:style>
  <w:style w:type="character" w:customStyle="1" w:styleId="SubtitleChar">
    <w:name w:val="Subtitle Char"/>
    <w:basedOn w:val="DefaultParagraphFont"/>
    <w:link w:val="Subtitle"/>
    <w:rsid w:val="00922A45"/>
    <w:rPr>
      <w:rFonts w:ascii="Arial" w:eastAsia="MS Mincho" w:hAnsi="Arial" w:cs="Times New Roman"/>
      <w:sz w:val="24"/>
      <w:szCs w:val="20"/>
      <w:lang w:val="en-GB" w:eastAsia="fr-FR"/>
    </w:rPr>
  </w:style>
  <w:style w:type="character" w:styleId="Strong">
    <w:name w:val="Strong"/>
    <w:qFormat/>
    <w:rsid w:val="00922A45"/>
    <w:rPr>
      <w:b/>
      <w:bCs/>
    </w:rPr>
  </w:style>
  <w:style w:type="character" w:styleId="Emphasis">
    <w:name w:val="Emphasis"/>
    <w:qFormat/>
    <w:rsid w:val="00922A45"/>
    <w:rPr>
      <w:i/>
      <w:iCs/>
    </w:rPr>
  </w:style>
  <w:style w:type="paragraph" w:styleId="NoSpacing">
    <w:name w:val="No Spacing"/>
    <w:uiPriority w:val="1"/>
    <w:qFormat/>
    <w:rsid w:val="00922A45"/>
    <w:pPr>
      <w:jc w:val="both"/>
    </w:pPr>
    <w:rPr>
      <w:rFonts w:ascii="Arial" w:eastAsia="MS Mincho" w:hAnsi="Arial" w:cs="Times New Roman"/>
      <w:sz w:val="20"/>
      <w:szCs w:val="20"/>
      <w:lang w:val="en-GB" w:eastAsia="fr-FR"/>
    </w:rPr>
  </w:style>
  <w:style w:type="paragraph" w:styleId="ListParagraph">
    <w:name w:val="List Paragraph"/>
    <w:basedOn w:val="Normal"/>
    <w:uiPriority w:val="34"/>
    <w:qFormat/>
    <w:rsid w:val="00922A45"/>
    <w:pPr>
      <w:ind w:left="720"/>
    </w:pPr>
    <w:rPr>
      <w:rFonts w:ascii="Calibri" w:eastAsia="Calibri" w:hAnsi="Calibri" w:cs="Times New Roman"/>
      <w:snapToGrid w:val="0"/>
    </w:rPr>
  </w:style>
  <w:style w:type="paragraph" w:styleId="Quote">
    <w:name w:val="Quote"/>
    <w:basedOn w:val="Normal"/>
    <w:next w:val="Normal"/>
    <w:link w:val="QuoteChar"/>
    <w:uiPriority w:val="29"/>
    <w:qFormat/>
    <w:rsid w:val="00922A45"/>
    <w:pPr>
      <w:spacing w:after="240" w:line="230" w:lineRule="atLeast"/>
      <w:jc w:val="both"/>
    </w:pPr>
    <w:rPr>
      <w:rFonts w:ascii="Arial" w:eastAsia="MS Mincho" w:hAnsi="Arial" w:cs="Times New Roman"/>
      <w:i/>
      <w:iCs/>
      <w:snapToGrid w:val="0"/>
      <w:color w:val="000000"/>
      <w:sz w:val="20"/>
      <w:lang w:val="en-GB"/>
    </w:rPr>
  </w:style>
  <w:style w:type="character" w:customStyle="1" w:styleId="QuoteChar">
    <w:name w:val="Quote Char"/>
    <w:basedOn w:val="DefaultParagraphFont"/>
    <w:link w:val="Quote"/>
    <w:uiPriority w:val="29"/>
    <w:rsid w:val="00922A45"/>
    <w:rPr>
      <w:rFonts w:ascii="Arial" w:eastAsia="MS Mincho" w:hAnsi="Arial" w:cs="Times New Roman"/>
      <w:i/>
      <w:iCs/>
      <w:color w:val="000000"/>
      <w:sz w:val="20"/>
      <w:szCs w:val="20"/>
      <w:lang w:val="en-GB" w:eastAsia="fr-FR"/>
    </w:rPr>
  </w:style>
  <w:style w:type="paragraph" w:styleId="IntenseQuote">
    <w:name w:val="Intense Quote"/>
    <w:basedOn w:val="Normal"/>
    <w:next w:val="Normal"/>
    <w:link w:val="IntenseQuoteChar"/>
    <w:uiPriority w:val="30"/>
    <w:qFormat/>
    <w:rsid w:val="00922A45"/>
    <w:pPr>
      <w:pBdr>
        <w:bottom w:val="single" w:sz="4" w:space="4" w:color="4F81BD"/>
      </w:pBdr>
      <w:spacing w:before="200" w:after="280" w:line="230" w:lineRule="atLeast"/>
      <w:ind w:left="936" w:right="936"/>
      <w:jc w:val="both"/>
    </w:pPr>
    <w:rPr>
      <w:rFonts w:ascii="Arial" w:eastAsia="MS Mincho" w:hAnsi="Arial" w:cs="Times New Roman"/>
      <w:b/>
      <w:bCs/>
      <w:i/>
      <w:iCs/>
      <w:snapToGrid w:val="0"/>
      <w:color w:val="4F81BD"/>
      <w:sz w:val="20"/>
      <w:lang w:val="en-GB"/>
    </w:rPr>
  </w:style>
  <w:style w:type="character" w:customStyle="1" w:styleId="IntenseQuoteChar">
    <w:name w:val="Intense Quote Char"/>
    <w:basedOn w:val="DefaultParagraphFont"/>
    <w:link w:val="IntenseQuote"/>
    <w:uiPriority w:val="30"/>
    <w:rsid w:val="00922A45"/>
    <w:rPr>
      <w:rFonts w:ascii="Arial" w:eastAsia="MS Mincho" w:hAnsi="Arial" w:cs="Times New Roman"/>
      <w:b/>
      <w:bCs/>
      <w:i/>
      <w:iCs/>
      <w:color w:val="4F81BD"/>
      <w:sz w:val="20"/>
      <w:szCs w:val="20"/>
      <w:lang w:val="en-GB" w:eastAsia="fr-FR"/>
    </w:rPr>
  </w:style>
  <w:style w:type="paragraph" w:styleId="TOCHeading">
    <w:name w:val="TOC Heading"/>
    <w:basedOn w:val="Heading1"/>
    <w:next w:val="Normal"/>
    <w:uiPriority w:val="39"/>
    <w:semiHidden/>
    <w:unhideWhenUsed/>
    <w:qFormat/>
    <w:rsid w:val="00922A45"/>
    <w:pPr>
      <w:keepNext/>
      <w:numPr>
        <w:numId w:val="0"/>
      </w:numPr>
      <w:spacing w:before="240" w:after="60" w:line="230" w:lineRule="atLeast"/>
      <w:jc w:val="both"/>
      <w:outlineLvl w:val="9"/>
    </w:pPr>
    <w:rPr>
      <w:rFonts w:ascii="Cambria" w:hAnsi="Cambria"/>
      <w:kern w:val="32"/>
      <w:sz w:val="32"/>
      <w:szCs w:val="32"/>
      <w:lang w:val="en-GB"/>
    </w:rPr>
  </w:style>
  <w:style w:type="paragraph" w:customStyle="1" w:styleId="Default">
    <w:name w:val="Default"/>
    <w:rsid w:val="002976BB"/>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2976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7CE"/>
    <w:pPr>
      <w:spacing w:after="200" w:line="276" w:lineRule="auto"/>
    </w:pPr>
  </w:style>
  <w:style w:type="paragraph" w:styleId="Heading1">
    <w:name w:val="heading 1"/>
    <w:basedOn w:val="Normal"/>
    <w:next w:val="Normal"/>
    <w:link w:val="Heading1Char"/>
    <w:qFormat/>
    <w:rsid w:val="00922A45"/>
    <w:pPr>
      <w:numPr>
        <w:numId w:val="10"/>
      </w:numPr>
      <w:outlineLvl w:val="0"/>
    </w:pPr>
    <w:rPr>
      <w:rFonts w:ascii="Arial" w:eastAsia="Times New Roman" w:hAnsi="Arial" w:cs="Times New Roman"/>
      <w:b/>
      <w:bCs/>
      <w:snapToGrid w:val="0"/>
    </w:rPr>
  </w:style>
  <w:style w:type="paragraph" w:styleId="Heading2">
    <w:name w:val="heading 2"/>
    <w:basedOn w:val="Normal"/>
    <w:next w:val="Normal"/>
    <w:link w:val="Heading2Char"/>
    <w:unhideWhenUsed/>
    <w:qFormat/>
    <w:rsid w:val="00922A45"/>
    <w:pPr>
      <w:keepNext/>
      <w:numPr>
        <w:ilvl w:val="1"/>
        <w:numId w:val="10"/>
      </w:numPr>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nhideWhenUsed/>
    <w:qFormat/>
    <w:rsid w:val="00922A45"/>
    <w:pPr>
      <w:keepNext/>
      <w:numPr>
        <w:ilvl w:val="2"/>
        <w:numId w:val="10"/>
      </w:numPr>
      <w:spacing w:before="240" w:after="60"/>
      <w:outlineLvl w:val="2"/>
    </w:pPr>
    <w:rPr>
      <w:rFonts w:ascii="Cambria" w:eastAsia="Times New Roman" w:hAnsi="Cambria" w:cs="Times New Roman"/>
      <w:b/>
      <w:bCs/>
      <w:sz w:val="26"/>
      <w:szCs w:val="26"/>
    </w:rPr>
  </w:style>
  <w:style w:type="paragraph" w:styleId="Heading4">
    <w:name w:val="heading 4"/>
    <w:basedOn w:val="Heading3"/>
    <w:next w:val="Normal"/>
    <w:link w:val="Heading4Char"/>
    <w:qFormat/>
    <w:rsid w:val="00922A45"/>
    <w:pPr>
      <w:numPr>
        <w:ilvl w:val="3"/>
      </w:numPr>
      <w:tabs>
        <w:tab w:val="left" w:pos="941"/>
        <w:tab w:val="left" w:pos="1140"/>
        <w:tab w:val="left" w:pos="1360"/>
      </w:tabs>
      <w:suppressAutoHyphens/>
      <w:spacing w:before="60" w:after="240" w:line="230" w:lineRule="exact"/>
      <w:outlineLvl w:val="3"/>
    </w:pPr>
    <w:rPr>
      <w:rFonts w:ascii="Arial" w:eastAsia="MS Mincho" w:hAnsi="Arial"/>
      <w:bCs w:val="0"/>
      <w:snapToGrid w:val="0"/>
      <w:sz w:val="20"/>
      <w:szCs w:val="20"/>
      <w:lang w:val="en-GB"/>
    </w:rPr>
  </w:style>
  <w:style w:type="paragraph" w:styleId="Heading5">
    <w:name w:val="heading 5"/>
    <w:basedOn w:val="Heading4"/>
    <w:next w:val="Normal"/>
    <w:link w:val="Heading5Char"/>
    <w:qFormat/>
    <w:rsid w:val="00922A45"/>
    <w:pPr>
      <w:numPr>
        <w:ilvl w:val="4"/>
      </w:numPr>
      <w:tabs>
        <w:tab w:val="clear" w:pos="941"/>
        <w:tab w:val="clear" w:pos="1140"/>
        <w:tab w:val="clear" w:pos="1360"/>
      </w:tabs>
      <w:outlineLvl w:val="4"/>
    </w:pPr>
  </w:style>
  <w:style w:type="paragraph" w:styleId="Heading6">
    <w:name w:val="heading 6"/>
    <w:basedOn w:val="Heading5"/>
    <w:next w:val="Normal"/>
    <w:link w:val="Heading6Char"/>
    <w:qFormat/>
    <w:rsid w:val="00922A45"/>
    <w:pPr>
      <w:numPr>
        <w:ilvl w:val="5"/>
      </w:numPr>
      <w:outlineLvl w:val="5"/>
    </w:pPr>
  </w:style>
  <w:style w:type="paragraph" w:styleId="Heading7">
    <w:name w:val="heading 7"/>
    <w:basedOn w:val="Heading6"/>
    <w:next w:val="Normal"/>
    <w:link w:val="Heading7Char"/>
    <w:qFormat/>
    <w:rsid w:val="00922A45"/>
    <w:pPr>
      <w:numPr>
        <w:ilvl w:val="6"/>
      </w:numPr>
      <w:outlineLvl w:val="6"/>
    </w:pPr>
  </w:style>
  <w:style w:type="paragraph" w:styleId="Heading8">
    <w:name w:val="heading 8"/>
    <w:basedOn w:val="Heading6"/>
    <w:next w:val="Normal"/>
    <w:link w:val="Heading8Char"/>
    <w:qFormat/>
    <w:rsid w:val="00922A45"/>
    <w:pPr>
      <w:numPr>
        <w:ilvl w:val="7"/>
      </w:numPr>
      <w:tabs>
        <w:tab w:val="left" w:pos="1418"/>
      </w:tabs>
      <w:outlineLvl w:val="7"/>
    </w:pPr>
  </w:style>
  <w:style w:type="paragraph" w:styleId="Heading9">
    <w:name w:val="heading 9"/>
    <w:basedOn w:val="Heading6"/>
    <w:next w:val="Normal"/>
    <w:link w:val="Heading9Char"/>
    <w:qFormat/>
    <w:rsid w:val="00922A45"/>
    <w:pPr>
      <w:numPr>
        <w:ilvl w:val="8"/>
      </w:numPr>
      <w:tabs>
        <w:tab w:val="left" w:pos="1418"/>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2A45"/>
    <w:rPr>
      <w:rFonts w:ascii="Arial" w:eastAsia="Times New Roman" w:hAnsi="Arial" w:cs="Times New Roman"/>
      <w:b/>
      <w:bCs/>
      <w:lang w:val="fr-FR" w:eastAsia="fr-FR"/>
    </w:rPr>
  </w:style>
  <w:style w:type="character" w:customStyle="1" w:styleId="Heading2Char">
    <w:name w:val="Heading 2 Char"/>
    <w:basedOn w:val="DefaultParagraphFont"/>
    <w:link w:val="Heading2"/>
    <w:rsid w:val="00922A45"/>
    <w:rPr>
      <w:rFonts w:ascii="Cambria" w:eastAsia="Times New Roman" w:hAnsi="Cambria" w:cs="Times New Roman"/>
      <w:b/>
      <w:bCs/>
      <w:i/>
      <w:iCs/>
      <w:snapToGrid w:val="0"/>
      <w:sz w:val="28"/>
      <w:szCs w:val="28"/>
      <w:lang w:val="fr-FR" w:eastAsia="fr-FR"/>
    </w:rPr>
  </w:style>
  <w:style w:type="character" w:customStyle="1" w:styleId="Heading3Char">
    <w:name w:val="Heading 3 Char"/>
    <w:basedOn w:val="DefaultParagraphFont"/>
    <w:link w:val="Heading3"/>
    <w:rsid w:val="00922A45"/>
    <w:rPr>
      <w:rFonts w:ascii="Cambria" w:eastAsia="Times New Roman" w:hAnsi="Cambria" w:cs="Times New Roman"/>
      <w:b/>
      <w:bCs/>
      <w:snapToGrid w:val="0"/>
      <w:sz w:val="26"/>
      <w:szCs w:val="26"/>
      <w:lang w:val="fr-FR" w:eastAsia="fr-FR"/>
    </w:rPr>
  </w:style>
  <w:style w:type="character" w:customStyle="1" w:styleId="Heading4Char">
    <w:name w:val="Heading 4 Char"/>
    <w:basedOn w:val="DefaultParagraphFont"/>
    <w:link w:val="Heading4"/>
    <w:rsid w:val="00922A45"/>
    <w:rPr>
      <w:rFonts w:ascii="Arial" w:eastAsia="MS Mincho" w:hAnsi="Arial" w:cs="Times New Roman"/>
      <w:b/>
      <w:sz w:val="20"/>
      <w:szCs w:val="20"/>
      <w:lang w:val="en-GB" w:eastAsia="fr-FR"/>
    </w:rPr>
  </w:style>
  <w:style w:type="character" w:customStyle="1" w:styleId="Heading5Char">
    <w:name w:val="Heading 5 Char"/>
    <w:basedOn w:val="DefaultParagraphFont"/>
    <w:link w:val="Heading5"/>
    <w:rsid w:val="00922A45"/>
    <w:rPr>
      <w:rFonts w:ascii="Arial" w:eastAsia="MS Mincho" w:hAnsi="Arial" w:cs="Times New Roman"/>
      <w:b/>
      <w:sz w:val="20"/>
      <w:szCs w:val="20"/>
      <w:lang w:val="en-GB" w:eastAsia="fr-FR"/>
    </w:rPr>
  </w:style>
  <w:style w:type="character" w:customStyle="1" w:styleId="Heading6Char">
    <w:name w:val="Heading 6 Char"/>
    <w:basedOn w:val="DefaultParagraphFont"/>
    <w:link w:val="Heading6"/>
    <w:rsid w:val="00922A45"/>
    <w:rPr>
      <w:rFonts w:ascii="Arial" w:eastAsia="MS Mincho" w:hAnsi="Arial" w:cs="Times New Roman"/>
      <w:b/>
      <w:sz w:val="20"/>
      <w:szCs w:val="20"/>
      <w:lang w:val="en-GB" w:eastAsia="fr-FR"/>
    </w:rPr>
  </w:style>
  <w:style w:type="character" w:customStyle="1" w:styleId="Heading7Char">
    <w:name w:val="Heading 7 Char"/>
    <w:basedOn w:val="DefaultParagraphFont"/>
    <w:link w:val="Heading7"/>
    <w:rsid w:val="00922A45"/>
    <w:rPr>
      <w:rFonts w:ascii="Arial" w:eastAsia="MS Mincho" w:hAnsi="Arial" w:cs="Times New Roman"/>
      <w:b/>
      <w:sz w:val="20"/>
      <w:szCs w:val="20"/>
      <w:lang w:val="en-GB" w:eastAsia="fr-FR"/>
    </w:rPr>
  </w:style>
  <w:style w:type="character" w:customStyle="1" w:styleId="Heading8Char">
    <w:name w:val="Heading 8 Char"/>
    <w:basedOn w:val="DefaultParagraphFont"/>
    <w:link w:val="Heading8"/>
    <w:rsid w:val="00922A45"/>
    <w:rPr>
      <w:rFonts w:ascii="Arial" w:eastAsia="MS Mincho" w:hAnsi="Arial" w:cs="Times New Roman"/>
      <w:b/>
      <w:sz w:val="20"/>
      <w:szCs w:val="20"/>
      <w:lang w:val="en-GB" w:eastAsia="fr-FR"/>
    </w:rPr>
  </w:style>
  <w:style w:type="character" w:customStyle="1" w:styleId="Heading9Char">
    <w:name w:val="Heading 9 Char"/>
    <w:basedOn w:val="DefaultParagraphFont"/>
    <w:link w:val="Heading9"/>
    <w:rsid w:val="00922A45"/>
    <w:rPr>
      <w:rFonts w:ascii="Arial" w:eastAsia="MS Mincho" w:hAnsi="Arial" w:cs="Times New Roman"/>
      <w:b/>
      <w:sz w:val="20"/>
      <w:szCs w:val="20"/>
      <w:lang w:val="en-GB" w:eastAsia="fr-FR"/>
    </w:rPr>
  </w:style>
  <w:style w:type="paragraph" w:styleId="Caption">
    <w:name w:val="caption"/>
    <w:basedOn w:val="Normal"/>
    <w:next w:val="Normal"/>
    <w:qFormat/>
    <w:rsid w:val="00922A45"/>
    <w:pPr>
      <w:spacing w:before="120" w:after="120" w:line="230" w:lineRule="atLeast"/>
      <w:jc w:val="both"/>
    </w:pPr>
    <w:rPr>
      <w:rFonts w:ascii="Arial" w:eastAsia="MS Mincho" w:hAnsi="Arial" w:cs="Times New Roman"/>
      <w:b/>
      <w:snapToGrid w:val="0"/>
      <w:sz w:val="20"/>
      <w:lang w:val="en-GB"/>
    </w:rPr>
  </w:style>
  <w:style w:type="paragraph" w:styleId="Title">
    <w:name w:val="Title"/>
    <w:basedOn w:val="Normal"/>
    <w:link w:val="TitleChar"/>
    <w:qFormat/>
    <w:rsid w:val="00922A45"/>
    <w:pPr>
      <w:jc w:val="center"/>
    </w:pPr>
    <w:rPr>
      <w:rFonts w:ascii="Arial" w:eastAsia="Times New Roman" w:hAnsi="Arial" w:cs="Times New Roman"/>
      <w:b/>
      <w:bCs/>
      <w:snapToGrid w:val="0"/>
    </w:rPr>
  </w:style>
  <w:style w:type="character" w:customStyle="1" w:styleId="TitleChar">
    <w:name w:val="Title Char"/>
    <w:basedOn w:val="DefaultParagraphFont"/>
    <w:link w:val="Title"/>
    <w:rsid w:val="00922A45"/>
    <w:rPr>
      <w:rFonts w:ascii="Arial" w:eastAsia="Times New Roman" w:hAnsi="Arial" w:cs="Times New Roman"/>
      <w:b/>
      <w:bCs/>
      <w:lang w:val="fr-FR" w:eastAsia="fr-FR"/>
    </w:rPr>
  </w:style>
  <w:style w:type="paragraph" w:styleId="Subtitle">
    <w:name w:val="Subtitle"/>
    <w:basedOn w:val="Normal"/>
    <w:link w:val="SubtitleChar"/>
    <w:qFormat/>
    <w:rsid w:val="00922A45"/>
    <w:pPr>
      <w:spacing w:after="60" w:line="230" w:lineRule="atLeast"/>
      <w:jc w:val="center"/>
      <w:outlineLvl w:val="1"/>
    </w:pPr>
    <w:rPr>
      <w:rFonts w:ascii="Arial" w:eastAsia="MS Mincho" w:hAnsi="Arial" w:cs="Times New Roman"/>
      <w:snapToGrid w:val="0"/>
      <w:sz w:val="24"/>
      <w:lang w:val="en-GB"/>
    </w:rPr>
  </w:style>
  <w:style w:type="character" w:customStyle="1" w:styleId="SubtitleChar">
    <w:name w:val="Subtitle Char"/>
    <w:basedOn w:val="DefaultParagraphFont"/>
    <w:link w:val="Subtitle"/>
    <w:rsid w:val="00922A45"/>
    <w:rPr>
      <w:rFonts w:ascii="Arial" w:eastAsia="MS Mincho" w:hAnsi="Arial" w:cs="Times New Roman"/>
      <w:sz w:val="24"/>
      <w:szCs w:val="20"/>
      <w:lang w:val="en-GB" w:eastAsia="fr-FR"/>
    </w:rPr>
  </w:style>
  <w:style w:type="character" w:styleId="Strong">
    <w:name w:val="Strong"/>
    <w:qFormat/>
    <w:rsid w:val="00922A45"/>
    <w:rPr>
      <w:b/>
      <w:bCs/>
    </w:rPr>
  </w:style>
  <w:style w:type="character" w:styleId="Emphasis">
    <w:name w:val="Emphasis"/>
    <w:qFormat/>
    <w:rsid w:val="00922A45"/>
    <w:rPr>
      <w:i/>
      <w:iCs/>
    </w:rPr>
  </w:style>
  <w:style w:type="paragraph" w:styleId="NoSpacing">
    <w:name w:val="No Spacing"/>
    <w:uiPriority w:val="1"/>
    <w:qFormat/>
    <w:rsid w:val="00922A45"/>
    <w:pPr>
      <w:jc w:val="both"/>
    </w:pPr>
    <w:rPr>
      <w:rFonts w:ascii="Arial" w:eastAsia="MS Mincho" w:hAnsi="Arial" w:cs="Times New Roman"/>
      <w:sz w:val="20"/>
      <w:szCs w:val="20"/>
      <w:lang w:val="en-GB" w:eastAsia="fr-FR"/>
    </w:rPr>
  </w:style>
  <w:style w:type="paragraph" w:styleId="ListParagraph">
    <w:name w:val="List Paragraph"/>
    <w:basedOn w:val="Normal"/>
    <w:uiPriority w:val="34"/>
    <w:qFormat/>
    <w:rsid w:val="00922A45"/>
    <w:pPr>
      <w:ind w:left="720"/>
    </w:pPr>
    <w:rPr>
      <w:rFonts w:ascii="Calibri" w:eastAsia="Calibri" w:hAnsi="Calibri" w:cs="Times New Roman"/>
      <w:snapToGrid w:val="0"/>
    </w:rPr>
  </w:style>
  <w:style w:type="paragraph" w:styleId="Quote">
    <w:name w:val="Quote"/>
    <w:basedOn w:val="Normal"/>
    <w:next w:val="Normal"/>
    <w:link w:val="QuoteChar"/>
    <w:uiPriority w:val="29"/>
    <w:qFormat/>
    <w:rsid w:val="00922A45"/>
    <w:pPr>
      <w:spacing w:after="240" w:line="230" w:lineRule="atLeast"/>
      <w:jc w:val="both"/>
    </w:pPr>
    <w:rPr>
      <w:rFonts w:ascii="Arial" w:eastAsia="MS Mincho" w:hAnsi="Arial" w:cs="Times New Roman"/>
      <w:i/>
      <w:iCs/>
      <w:snapToGrid w:val="0"/>
      <w:color w:val="000000"/>
      <w:sz w:val="20"/>
      <w:lang w:val="en-GB"/>
    </w:rPr>
  </w:style>
  <w:style w:type="character" w:customStyle="1" w:styleId="QuoteChar">
    <w:name w:val="Quote Char"/>
    <w:basedOn w:val="DefaultParagraphFont"/>
    <w:link w:val="Quote"/>
    <w:uiPriority w:val="29"/>
    <w:rsid w:val="00922A45"/>
    <w:rPr>
      <w:rFonts w:ascii="Arial" w:eastAsia="MS Mincho" w:hAnsi="Arial" w:cs="Times New Roman"/>
      <w:i/>
      <w:iCs/>
      <w:color w:val="000000"/>
      <w:sz w:val="20"/>
      <w:szCs w:val="20"/>
      <w:lang w:val="en-GB" w:eastAsia="fr-FR"/>
    </w:rPr>
  </w:style>
  <w:style w:type="paragraph" w:styleId="IntenseQuote">
    <w:name w:val="Intense Quote"/>
    <w:basedOn w:val="Normal"/>
    <w:next w:val="Normal"/>
    <w:link w:val="IntenseQuoteChar"/>
    <w:uiPriority w:val="30"/>
    <w:qFormat/>
    <w:rsid w:val="00922A45"/>
    <w:pPr>
      <w:pBdr>
        <w:bottom w:val="single" w:sz="4" w:space="4" w:color="4F81BD"/>
      </w:pBdr>
      <w:spacing w:before="200" w:after="280" w:line="230" w:lineRule="atLeast"/>
      <w:ind w:left="936" w:right="936"/>
      <w:jc w:val="both"/>
    </w:pPr>
    <w:rPr>
      <w:rFonts w:ascii="Arial" w:eastAsia="MS Mincho" w:hAnsi="Arial" w:cs="Times New Roman"/>
      <w:b/>
      <w:bCs/>
      <w:i/>
      <w:iCs/>
      <w:snapToGrid w:val="0"/>
      <w:color w:val="4F81BD"/>
      <w:sz w:val="20"/>
      <w:lang w:val="en-GB"/>
    </w:rPr>
  </w:style>
  <w:style w:type="character" w:customStyle="1" w:styleId="IntenseQuoteChar">
    <w:name w:val="Intense Quote Char"/>
    <w:basedOn w:val="DefaultParagraphFont"/>
    <w:link w:val="IntenseQuote"/>
    <w:uiPriority w:val="30"/>
    <w:rsid w:val="00922A45"/>
    <w:rPr>
      <w:rFonts w:ascii="Arial" w:eastAsia="MS Mincho" w:hAnsi="Arial" w:cs="Times New Roman"/>
      <w:b/>
      <w:bCs/>
      <w:i/>
      <w:iCs/>
      <w:color w:val="4F81BD"/>
      <w:sz w:val="20"/>
      <w:szCs w:val="20"/>
      <w:lang w:val="en-GB" w:eastAsia="fr-FR"/>
    </w:rPr>
  </w:style>
  <w:style w:type="paragraph" w:styleId="TOCHeading">
    <w:name w:val="TOC Heading"/>
    <w:basedOn w:val="Heading1"/>
    <w:next w:val="Normal"/>
    <w:uiPriority w:val="39"/>
    <w:semiHidden/>
    <w:unhideWhenUsed/>
    <w:qFormat/>
    <w:rsid w:val="00922A45"/>
    <w:pPr>
      <w:keepNext/>
      <w:numPr>
        <w:numId w:val="0"/>
      </w:numPr>
      <w:spacing w:before="240" w:after="60" w:line="230" w:lineRule="atLeast"/>
      <w:jc w:val="both"/>
      <w:outlineLvl w:val="9"/>
    </w:pPr>
    <w:rPr>
      <w:rFonts w:ascii="Cambria" w:hAnsi="Cambria"/>
      <w:kern w:val="32"/>
      <w:sz w:val="32"/>
      <w:szCs w:val="32"/>
      <w:lang w:val="en-GB"/>
    </w:rPr>
  </w:style>
  <w:style w:type="paragraph" w:customStyle="1" w:styleId="Default">
    <w:name w:val="Default"/>
    <w:rsid w:val="002976BB"/>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2976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4753</Words>
  <Characters>25670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vitosgeo</dc:creator>
  <cp:lastModifiedBy>vitosgeo</cp:lastModifiedBy>
  <cp:revision>4</cp:revision>
  <dcterms:created xsi:type="dcterms:W3CDTF">2014-10-05T07:33:00Z</dcterms:created>
  <dcterms:modified xsi:type="dcterms:W3CDTF">2014-10-11T09:41:00Z</dcterms:modified>
</cp:coreProperties>
</file>